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Odsazentlatextu"/>
        <w:keepNext w:val="false"/>
        <w:pageBreakBefore w:val="false"/>
        <w:widowControl w:val="false"/>
        <w:suppressAutoHyphens w:val="false"/>
        <w:spacing w:before="0" w:after="0"/>
        <w:jc w:val="right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2"/>
          <w:szCs w:val="22"/>
          <w:lang w:val="cs-CZ" w:eastAsia="cs-CZ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čj. OB/20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2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1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/0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465</w:t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adpis5"/>
              <w:keepNext w:val="false"/>
              <w:pageBreakBefore w:val="false"/>
              <w:widowControl w:val="false"/>
              <w:suppressAutoHyphens w:val="false"/>
              <w:rPr>
                <w:rFonts w:ascii="Times New Roman" w:hAnsi="Times New Roman"/>
                <w:i w:val="false"/>
                <w:i w:val="false"/>
                <w:iCs w:val="false"/>
                <w:sz w:val="32"/>
                <w:szCs w:val="32"/>
                <w:u w:val="none"/>
              </w:rPr>
            </w:pPr>
            <w:r>
              <w:rPr>
                <w:rFonts w:ascii="Times New Roman" w:hAnsi="Times New Roman"/>
                <w:i w:val="false"/>
                <w:iCs w:val="false"/>
                <w:sz w:val="32"/>
                <w:szCs w:val="32"/>
                <w:u w:val="none"/>
              </w:rPr>
              <w:t>Výzva k podání nabídky a prokázání splnění kvalifikace</w:t>
            </w:r>
          </w:p>
          <w:p>
            <w:pPr>
              <w:pStyle w:val="Normal"/>
              <w:keepNext w:val="false"/>
              <w:pageBreakBefore w:val="false"/>
              <w:widowControl w:val="false"/>
              <w:numPr>
                <w:ilvl w:val="0"/>
                <w:numId w:val="0"/>
              </w:numPr>
              <w:suppressAutoHyphens w:val="false"/>
              <w:spacing w:lineRule="auto" w:line="240" w:before="0" w:after="0"/>
              <w:jc w:val="center"/>
              <w:outlineLvl w:val="0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(Zadávací podmínky jsou součástí této výzvy)</w:t>
            </w:r>
          </w:p>
        </w:tc>
      </w:tr>
    </w:tbl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Veřejný zadavatel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Obec Běleč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(dále též „zadavatel“) vyhlašuje v souladu s ustanovením § </w:t>
      </w:r>
      <w:r>
        <w:rPr>
          <w:rFonts w:ascii="Times New Roman" w:hAnsi="Times New Roman"/>
          <w:i w:val="false"/>
          <w:iCs w:val="false"/>
          <w:sz w:val="22"/>
          <w:szCs w:val="22"/>
        </w:rPr>
        <w:t>6, § 27 a § 31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zákona č. 13</w:t>
      </w:r>
      <w:r>
        <w:rPr>
          <w:rFonts w:ascii="Times New Roman" w:hAnsi="Times New Roman"/>
          <w:i w:val="false"/>
          <w:iCs w:val="false"/>
          <w:sz w:val="22"/>
          <w:szCs w:val="22"/>
        </w:rPr>
        <w:t>4</w:t>
      </w:r>
      <w:r>
        <w:rPr>
          <w:rFonts w:ascii="Times New Roman" w:hAnsi="Times New Roman"/>
          <w:i w:val="false"/>
          <w:iCs w:val="false"/>
          <w:sz w:val="22"/>
          <w:szCs w:val="22"/>
        </w:rPr>
        <w:t>/20</w:t>
      </w:r>
      <w:r>
        <w:rPr>
          <w:rFonts w:ascii="Times New Roman" w:hAnsi="Times New Roman"/>
          <w:i w:val="false"/>
          <w:iCs w:val="false"/>
          <w:sz w:val="22"/>
          <w:szCs w:val="22"/>
        </w:rPr>
        <w:t>1</w:t>
      </w:r>
      <w:r>
        <w:rPr>
          <w:rFonts w:ascii="Times New Roman" w:hAnsi="Times New Roman"/>
          <w:i w:val="false"/>
          <w:iCs w:val="false"/>
          <w:sz w:val="22"/>
          <w:szCs w:val="22"/>
        </w:rPr>
        <w:t>6 Sb., o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 zadávání </w:t>
      </w:r>
      <w:r>
        <w:rPr>
          <w:rFonts w:ascii="Times New Roman" w:hAnsi="Times New Roman"/>
          <w:i w:val="false"/>
          <w:iCs w:val="false"/>
          <w:sz w:val="22"/>
          <w:szCs w:val="22"/>
        </w:rPr>
        <w:t>veřejných zakáz</w:t>
      </w:r>
      <w:r>
        <w:rPr>
          <w:rFonts w:ascii="Times New Roman" w:hAnsi="Times New Roman"/>
          <w:i w:val="false"/>
          <w:iCs w:val="false"/>
          <w:sz w:val="22"/>
          <w:szCs w:val="22"/>
        </w:rPr>
        <w:t>e</w:t>
      </w:r>
      <w:r>
        <w:rPr>
          <w:rFonts w:ascii="Times New Roman" w:hAnsi="Times New Roman"/>
          <w:i w:val="false"/>
          <w:iCs w:val="false"/>
          <w:sz w:val="22"/>
          <w:szCs w:val="22"/>
        </w:rPr>
        <w:t>k, v platném znění (dále též „Z</w:t>
      </w:r>
      <w:r>
        <w:rPr>
          <w:rFonts w:ascii="Times New Roman" w:hAnsi="Times New Roman"/>
          <w:i w:val="false"/>
          <w:iCs w:val="false"/>
          <w:sz w:val="22"/>
          <w:szCs w:val="22"/>
        </w:rPr>
        <w:t>Z</w:t>
      </w:r>
      <w:r>
        <w:rPr>
          <w:rFonts w:ascii="Times New Roman" w:hAnsi="Times New Roman"/>
          <w:i w:val="false"/>
          <w:iCs w:val="false"/>
          <w:sz w:val="22"/>
          <w:szCs w:val="22"/>
        </w:rPr>
        <w:t>VZ“), zadávací řízení postupem dle § 6 Z</w:t>
      </w:r>
      <w:r>
        <w:rPr>
          <w:rFonts w:ascii="Times New Roman" w:hAnsi="Times New Roman"/>
          <w:i w:val="false"/>
          <w:iCs w:val="false"/>
          <w:sz w:val="22"/>
          <w:szCs w:val="22"/>
        </w:rPr>
        <w:t>Z</w:t>
      </w:r>
      <w:r>
        <w:rPr>
          <w:rFonts w:ascii="Times New Roman" w:hAnsi="Times New Roman"/>
          <w:i w:val="false"/>
          <w:iCs w:val="false"/>
          <w:sz w:val="22"/>
          <w:szCs w:val="22"/>
        </w:rPr>
        <w:t>VZ v zájmu uzavřít o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předmětné zakázce smlouvu o dílo, dle podmínek následující Výzvy k podání nabídky a prokázání splnění kvalifikace a zadávacích podmínek, které jsou součástí této výzvy. </w:t>
      </w:r>
    </w:p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1. Veřejný zadavatel a název veřejné zakázky:</w:t>
            </w:r>
          </w:p>
        </w:tc>
      </w:tr>
    </w:tbl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834"/>
        <w:gridCol w:w="7938"/>
      </w:tblGrid>
      <w:tr>
        <w:trPr/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 veřejné zakázky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Rekonstrukce požární zbrojnice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Číslo zakázky,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zadávací řízení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OB/VZ/20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/00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, 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V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Z malého rozsahu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na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stavební práce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, mimo režim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ZZVZ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Zadavatel, sídlo, IČO, DIČ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Obec Běleč, Běleč 22, 39143 Běleč, IČ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 00582506, DIČ CZ00582506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Zastoupený, telefon, email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Stanislav Šmejkal, starosta, tel. 724189517, email smejkal@obecbelec.cz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2. Předmět a předpokládaná hodnota veřejné zakázky:</w:t>
            </w:r>
          </w:p>
        </w:tc>
      </w:tr>
    </w:tbl>
    <w:p>
      <w:pPr>
        <w:pStyle w:val="NormalJustified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Justified"/>
        <w:keepNext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Předmět plnění veřejné zakázky j</w:t>
      </w:r>
      <w:r>
        <w:rPr>
          <w:rFonts w:ascii="Times New Roman" w:hAnsi="Times New Roman"/>
          <w:i w:val="false"/>
          <w:iCs w:val="false"/>
          <w:sz w:val="22"/>
          <w:szCs w:val="22"/>
        </w:rPr>
        <w:t>sou stavební práce „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>Stavební úpravy a nástavba objektu hasičské zbrojnice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“ 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d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le 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projektu pro provedení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 stavby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, kterou zpracoval Ing. Ladislav Mládek, IČO 12905283, Převrátilská 330, 390 01 Tábor</w:t>
      </w:r>
      <w:r>
        <w:rPr>
          <w:rFonts w:ascii="Times New Roman" w:hAnsi="Times New Roman"/>
          <w:b w:val="false"/>
          <w:bCs w:val="false"/>
          <w:sz w:val="22"/>
          <w:szCs w:val="22"/>
        </w:rPr>
        <w:t>.</w:t>
      </w:r>
    </w:p>
    <w:p>
      <w:pPr>
        <w:pStyle w:val="NormalJustified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0" w:type="dxa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167"/>
        <w:gridCol w:w="1300"/>
        <w:gridCol w:w="1016"/>
        <w:gridCol w:w="3287"/>
      </w:tblGrid>
      <w:tr>
        <w:trPr/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 w:val="false"/>
                <w:iCs w:val="false"/>
                <w:sz w:val="22"/>
                <w:szCs w:val="22"/>
              </w:rPr>
              <w:t>Klasifikace předmětu a předpokládaná hodnota zakázky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CPV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množství 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Předpokládaná hodnota (bez DPH) </w:t>
            </w:r>
          </w:p>
        </w:tc>
      </w:tr>
      <w:tr>
        <w:trPr>
          <w:trHeight w:val="117" w:hRule="atLeast"/>
          <w:cantSplit w:val="true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rPr>
                <w:rFonts w:ascii="Times New Roman" w:hAnsi="Times New Roman" w:cs="Tahoma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 xml:space="preserve">Stavební práce – </w:t>
            </w: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stavební úpravy hasičské zbrojnice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Tahoma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45216121-8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Arial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 xml:space="preserve">1 </w:t>
            </w:r>
            <w:r>
              <w:rPr>
                <w:rFonts w:cs="Arial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kpl</w:t>
            </w:r>
          </w:p>
        </w:tc>
        <w:tc>
          <w:tcPr>
            <w:tcW w:w="32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Arial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1.800</w:t>
            </w:r>
            <w:r>
              <w:rPr>
                <w:rFonts w:cs="Arial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.000,- Kč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Justified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3. Údaje pro vyžádání zadávací dokumentace: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0" w:type="dxa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320"/>
        <w:gridCol w:w="6450"/>
      </w:tblGrid>
      <w:tr>
        <w:trPr>
          <w:trHeight w:val="301" w:hRule="atLeast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 xml:space="preserve">Adresa pro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>v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>yžádání zadávací dokumentace:</w:t>
            </w:r>
          </w:p>
        </w:tc>
        <w:tc>
          <w:tcPr>
            <w:tcW w:w="645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>
            <w:pPr>
              <w:pStyle w:val="NormalJustified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  <w:u w:val="none"/>
              </w:rPr>
            </w:pPr>
            <w:r>
              <w:rPr>
                <w:rFonts w:eastAsia="Arial Narrow" w:cs="Arial Narrow"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>Obec Běleč</w:t>
            </w:r>
            <w:r>
              <w:rPr>
                <w:rFonts w:eastAsia="Arial Narrow"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 xml:space="preserve">, Běleč 22, 391 43 Běleč,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 xml:space="preserve">email: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>smejkal@obecbelec.cz</w:t>
            </w:r>
          </w:p>
        </w:tc>
      </w:tr>
      <w:tr>
        <w:trPr>
          <w:trHeight w:val="452" w:hRule="atLeast"/>
          <w:cantSplit w:val="true"/>
        </w:trPr>
        <w:tc>
          <w:tcPr>
            <w:tcW w:w="10770" w:type="dxa"/>
            <w:gridSpan w:val="2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adpis2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ind w:left="110" w:right="11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 xml:space="preserve">Kompletní zadávací dokumentaci zadavatel zasílá současně s touto Výzvou k  rukám vyzvaných uchazečů popř. ji zadavatel uchazeči odešle do dvou pracovních dnů ode dne doručení písemné žádosti. 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4. Lhůta a místo plnění zakázky: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ind w:left="1418" w:right="0" w:hanging="1418"/>
        <w:jc w:val="both"/>
        <w:rPr>
          <w:rFonts w:ascii="Times New Roman" w:hAnsi="Times New Roman"/>
          <w:b/>
          <w:b/>
          <w:i w:val="false"/>
          <w:i w:val="false"/>
          <w:iCs w:val="false"/>
          <w:sz w:val="22"/>
          <w:szCs w:val="22"/>
          <w:u w:val="none"/>
        </w:rPr>
      </w:pPr>
      <w:r>
        <w:rPr>
          <w:rFonts w:ascii="Times New Roman" w:hAnsi="Times New Roman"/>
          <w:b/>
          <w:i w:val="false"/>
          <w:iCs w:val="false"/>
          <w:sz w:val="22"/>
          <w:szCs w:val="22"/>
          <w:u w:val="none"/>
        </w:rPr>
      </w:r>
    </w:p>
    <w:tbl>
      <w:tblPr>
        <w:tblW w:w="10770" w:type="dxa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120"/>
        <w:gridCol w:w="3259"/>
        <w:gridCol w:w="1985"/>
        <w:gridCol w:w="2406"/>
      </w:tblGrid>
      <w:tr>
        <w:trPr>
          <w:trHeight w:val="335" w:hRule="atLeast"/>
          <w:cantSplit w:val="true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ind w:left="1418" w:right="0" w:hanging="1418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Místem plnění zakázky:</w:t>
            </w:r>
          </w:p>
        </w:tc>
        <w:tc>
          <w:tcPr>
            <w:tcW w:w="3259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ind w:left="1370" w:right="0" w:hanging="1370"/>
              <w:jc w:val="center"/>
              <w:rPr>
                <w:rFonts w:ascii="Times New Roman" w:hAnsi="Times New Roman"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 w:val="false"/>
                <w:iCs w:val="false"/>
                <w:sz w:val="22"/>
                <w:szCs w:val="22"/>
              </w:rPr>
              <w:t>Běleč 22, 391 43 Běleč</w:t>
            </w:r>
          </w:p>
        </w:tc>
        <w:tc>
          <w:tcPr>
            <w:tcW w:w="4391" w:type="dxa"/>
            <w:gridSpan w:val="2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ind w:left="1418" w:right="0" w:hanging="1418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 w:val="false"/>
                <w:iCs w:val="false"/>
                <w:sz w:val="22"/>
                <w:szCs w:val="22"/>
              </w:rPr>
              <w:t xml:space="preserve">okres :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CZ0317 - Tábor</w:t>
            </w:r>
          </w:p>
        </w:tc>
      </w:tr>
      <w:tr>
        <w:trPr>
          <w:trHeight w:val="104" w:hRule="atLeast"/>
        </w:trPr>
        <w:tc>
          <w:tcPr>
            <w:tcW w:w="3120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ind w:left="1418" w:right="0" w:hanging="1418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Předpokládaný termín zahájení:</w:t>
            </w:r>
          </w:p>
        </w:tc>
        <w:tc>
          <w:tcPr>
            <w:tcW w:w="3259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Arial Narrow" w:ascii="Times New Roman" w:hAnsi="Times New Roman"/>
                <w:b/>
                <w:bCs/>
                <w:i w:val="false"/>
                <w:iCs w:val="false"/>
                <w:color w:val="auto"/>
                <w:sz w:val="22"/>
                <w:szCs w:val="22"/>
                <w:lang w:val="cs-CZ" w:bidi="ar-SA"/>
              </w:rPr>
              <w:t xml:space="preserve">1. </w:t>
            </w:r>
            <w:r>
              <w:rPr>
                <w:rFonts w:eastAsia="Times New Roman" w:cs="Arial Narrow" w:ascii="Times New Roman" w:hAnsi="Times New Roman"/>
                <w:b/>
                <w:bCs/>
                <w:i w:val="false"/>
                <w:iCs w:val="false"/>
                <w:color w:val="auto"/>
                <w:sz w:val="22"/>
                <w:szCs w:val="22"/>
                <w:lang w:val="cs-CZ" w:bidi="ar-SA"/>
              </w:rPr>
              <w:t>října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Termín dokončení:</w:t>
            </w:r>
          </w:p>
        </w:tc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15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prosince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202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1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5. Požadavky na prokázání kvalifikace uchazeče pro plnění veřejné zakázky: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8"/>
          <w:szCs w:val="8"/>
        </w:rPr>
      </w:pPr>
      <w:r>
        <w:rPr>
          <w:rFonts w:ascii="Times New Roman" w:hAnsi="Times New Roman"/>
          <w:i w:val="false"/>
          <w:iCs w:val="false"/>
          <w:sz w:val="8"/>
          <w:szCs w:val="8"/>
        </w:rPr>
      </w:r>
    </w:p>
    <w:p>
      <w:pPr>
        <w:pStyle w:val="Textodstavce"/>
        <w:keepNext w:val="false"/>
        <w:pageBreakBefore w:val="false"/>
        <w:widowControl w:val="false"/>
        <w:numPr>
          <w:ilvl w:val="0"/>
          <w:numId w:val="0"/>
        </w:numPr>
        <w:tabs>
          <w:tab w:val="clear" w:pos="851"/>
        </w:tabs>
        <w:suppressAutoHyphens w:val="false"/>
        <w:spacing w:lineRule="auto" w:line="240" w:before="0" w:after="0"/>
        <w:ind w:left="0" w:right="0" w:hanging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Kvalifikovaným pro plnění veřejné zakázky je dodavatel (uchazeč), který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podepíše dodá čestné prohlášení (v příloze). </w:t>
      </w:r>
      <w:r>
        <w:rPr>
          <w:rFonts w:cs="Arial" w:ascii="Times New Roman" w:hAnsi="Times New Roman"/>
          <w:bCs/>
          <w:i w:val="false"/>
          <w:iCs w:val="false"/>
          <w:sz w:val="22"/>
          <w:szCs w:val="22"/>
        </w:rPr>
        <w:t xml:space="preserve">Dodavatel/uchazeč je povinen prokázat splnění kvalifikace ve lhůtě pro podání nabídek.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Dodavatel / uchazeč, který nesplní kvalifikaci v rozsahu požadovaném zadavatelem v této výzvě bude vyloučen z účasti v zadávacím řízení.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6. Požadavky na obsah nabídky:</w:t>
            </w:r>
          </w:p>
        </w:tc>
      </w:tr>
    </w:tbl>
    <w:p>
      <w:pPr>
        <w:pStyle w:val="Zkladntext2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Nabídka předložená uchazečem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musí být zpracována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v českém jazyce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v požadovaném rozsahu v jednom vyhotovení </w:t>
      </w:r>
      <w:r>
        <w:rPr>
          <w:rFonts w:ascii="Times New Roman" w:hAnsi="Times New Roman"/>
          <w:i w:val="false"/>
          <w:iCs w:val="false"/>
          <w:sz w:val="22"/>
          <w:szCs w:val="22"/>
        </w:rPr>
        <w:t>a musí obsahovat tyto dokumenty (vyplněné):</w:t>
      </w:r>
    </w:p>
    <w:p>
      <w:pPr>
        <w:pStyle w:val="Zkladntext2"/>
        <w:widowControl w:val="false"/>
        <w:numPr>
          <w:ilvl w:val="0"/>
          <w:numId w:val="0"/>
        </w:numPr>
        <w:tabs>
          <w:tab w:val="clear" w:pos="720"/>
        </w:tabs>
        <w:suppressAutoHyphens w:val="false"/>
        <w:spacing w:lineRule="auto" w:line="240" w:before="0" w:after="0"/>
        <w:ind w:left="256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1. Krycí list nabídky (formulář v příloze)</w:t>
      </w:r>
    </w:p>
    <w:p>
      <w:pPr>
        <w:pStyle w:val="Zkladntext2"/>
        <w:widowControl w:val="false"/>
        <w:numPr>
          <w:ilvl w:val="0"/>
          <w:numId w:val="0"/>
        </w:numPr>
        <w:tabs>
          <w:tab w:val="clear" w:pos="720"/>
        </w:tabs>
        <w:suppressAutoHyphens w:val="false"/>
        <w:spacing w:lineRule="auto" w:line="240" w:before="0" w:after="0"/>
        <w:ind w:left="256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2. </w:t>
      </w:r>
      <w:r>
        <w:rPr>
          <w:rFonts w:ascii="Times New Roman" w:hAnsi="Times New Roman"/>
          <w:i w:val="false"/>
          <w:iCs w:val="false"/>
          <w:sz w:val="22"/>
          <w:szCs w:val="22"/>
        </w:rPr>
        <w:t>Soupis prací (formulář v příloze)</w:t>
      </w:r>
    </w:p>
    <w:p>
      <w:pPr>
        <w:pStyle w:val="Zkladntext2"/>
        <w:widowControl w:val="false"/>
        <w:numPr>
          <w:ilvl w:val="0"/>
          <w:numId w:val="0"/>
        </w:numPr>
        <w:tabs>
          <w:tab w:val="clear" w:pos="720"/>
        </w:tabs>
        <w:suppressAutoHyphens w:val="false"/>
        <w:spacing w:lineRule="auto" w:line="240" w:before="0" w:after="0"/>
        <w:ind w:left="256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3. Čestné prohlášení o prokázání kvalifikačních předpokladů (formulář v příloze)</w:t>
      </w:r>
    </w:p>
    <w:p>
      <w:pPr>
        <w:pStyle w:val="Zkladntext2"/>
        <w:widowControl w:val="false"/>
        <w:numPr>
          <w:ilvl w:val="0"/>
          <w:numId w:val="0"/>
        </w:numPr>
        <w:tabs>
          <w:tab w:val="clear" w:pos="720"/>
        </w:tabs>
        <w:suppressAutoHyphens w:val="false"/>
        <w:spacing w:lineRule="auto" w:line="240" w:before="0" w:after="0"/>
        <w:ind w:left="256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4. Návrh kupní smlouvy (vzor v příloze)</w:t>
      </w:r>
    </w:p>
    <w:p>
      <w:pPr>
        <w:pStyle w:val="NormalJustified"/>
        <w:pageBreakBefore w:val="false"/>
        <w:widowControl w:val="false"/>
        <w:tabs>
          <w:tab w:val="clear" w:pos="720"/>
        </w:tabs>
        <w:suppressAutoHyphens w:val="false"/>
        <w:spacing w:lineRule="auto" w:line="240" w:before="0" w:after="0"/>
        <w:ind w:left="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>Žádáme Vás, abyste k nabídce nepř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>i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>kládali žádné další dokumenty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>.</w:t>
      </w:r>
    </w:p>
    <w:p>
      <w:pPr>
        <w:pStyle w:val="Prosttext"/>
        <w:keepNext w:val="false"/>
        <w:pageBreakBefore w:val="false"/>
        <w:widowControl w:val="false"/>
        <w:suppressAutoHyphens w:val="false"/>
        <w:autoSpaceDE w:val="false"/>
        <w:spacing w:lineRule="auto" w:line="240" w:before="0" w:after="0"/>
        <w:jc w:val="both"/>
        <w:rPr>
          <w:rFonts w:ascii="Times New Roman" w:hAnsi="Times New Roman" w:cs="Times New Roman"/>
          <w:bCs/>
          <w:i w:val="false"/>
          <w:i w:val="false"/>
          <w:iCs w:val="false"/>
          <w:sz w:val="22"/>
          <w:szCs w:val="22"/>
        </w:rPr>
      </w:pPr>
      <w:r>
        <w:rPr>
          <w:rFonts w:cs="Times New Roman" w:ascii="Times New Roman" w:hAnsi="Times New Roman"/>
          <w:bCs/>
          <w:i w:val="false"/>
          <w:iCs w:val="false"/>
          <w:sz w:val="22"/>
          <w:szCs w:val="22"/>
        </w:rPr>
      </w:r>
    </w:p>
    <w:p>
      <w:pPr>
        <w:pStyle w:val="Prosttext"/>
        <w:widowControl w:val="false"/>
        <w:suppressAutoHyphens w:val="false"/>
        <w:autoSpaceDE w:val="false"/>
        <w:spacing w:lineRule="auto" w:line="240" w:before="0" w:after="0"/>
        <w:jc w:val="both"/>
        <w:rPr>
          <w:rFonts w:ascii="Times New Roman" w:hAnsi="Times New Roman" w:cs="Times New Roman"/>
          <w:bCs/>
          <w:i w:val="false"/>
          <w:i w:val="false"/>
          <w:iCs w:val="false"/>
          <w:sz w:val="22"/>
          <w:szCs w:val="22"/>
        </w:rPr>
      </w:pPr>
      <w:r>
        <w:rPr>
          <w:rFonts w:cs="Times New Roman" w:ascii="Times New Roman" w:hAnsi="Times New Roman"/>
          <w:bCs/>
          <w:i w:val="false"/>
          <w:iCs w:val="false"/>
          <w:sz w:val="22"/>
          <w:szCs w:val="22"/>
        </w:rPr>
        <w:t xml:space="preserve">Z důvodu právní jistoty zadavatel uchazečům doporučuje, aby všechny listy nabídky včetně příloh byly řádně očíslovány vzestupnou, nepřerušovanou číselnou řadou a zabezpečeny proti manipulaci. 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 w:cs="Times New Roman"/>
          <w:bCs/>
          <w:i w:val="false"/>
          <w:i w:val="false"/>
          <w:iCs w:val="false"/>
          <w:sz w:val="22"/>
          <w:szCs w:val="22"/>
        </w:rPr>
      </w:pPr>
      <w:r>
        <w:rPr>
          <w:rFonts w:cs="Times New Roman" w:ascii="Times New Roman" w:hAnsi="Times New Roman"/>
          <w:bCs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7. Dodatečné informace k zadávacím podmínkám a prohlídka místa plnění: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autoSpaceDE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Dodavatel (uchazeč) je oprávněn po zadavateli požadovat písemně dodatečné informace k zadávacím podmínkám. Písemná žádost musí být zadavateli doručena nejpozději do 3 pracovních dnů před uplynutím lhůty pro podání nabídek. Zadavatel odešle dodatečné informace k zadávacím podmínkám, případně související dokumenty, nejpozději do 2 pracovních dnů po doručení žádosti. Dodatečné informace, včetně přesného znění požadavku odešle zadavatel současně všem dodavatelům, kteří požádali o poskytnutí zadávací dokumentace nebo kterým byla zadávací dokumentace poskytnuta.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8. Zadávací lhůta, po kterou je uchazeč svoji nabídkou vázán: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Uchazeč je svou nabídkou vázán po celou zadávací lhůtu a zadávací lhůta je stanovena do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15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.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září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20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2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1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numPr>
                <w:ilvl w:val="0"/>
                <w:numId w:val="0"/>
              </w:numPr>
              <w:suppressAutoHyphens w:val="false"/>
              <w:spacing w:lineRule="auto" w:line="240" w:before="0" w:after="0"/>
              <w:ind w:left="1155" w:hanging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 xml:space="preserve">9.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Požadavky na způsob zpracování nabídkové ceny: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eastAsia="MS Mincho;MS Gothic" w:ascii="Times New Roman" w:hAnsi="Times New Roman"/>
          <w:i w:val="false"/>
          <w:iCs w:val="false"/>
          <w:sz w:val="22"/>
          <w:szCs w:val="22"/>
        </w:rPr>
        <w:t xml:space="preserve">Uchazeč stanoví nabídkovou cenu za celý předmět plnění vztahující se k předmětu zakázky, a to na základě ocenění </w:t>
      </w:r>
      <w:r>
        <w:rPr>
          <w:rFonts w:eastAsia="MS Mincho;MS Gothic" w:ascii="Times New Roman" w:hAnsi="Times New Roman"/>
          <w:i w:val="false"/>
          <w:iCs w:val="false"/>
          <w:sz w:val="22"/>
          <w:szCs w:val="22"/>
        </w:rPr>
        <w:t>stavebních prací</w:t>
      </w:r>
      <w:r>
        <w:rPr>
          <w:rFonts w:eastAsia="MS Mincho;MS Gothic" w:ascii="Times New Roman" w:hAnsi="Times New Roman"/>
          <w:i w:val="false"/>
          <w:iCs w:val="false"/>
          <w:sz w:val="22"/>
          <w:szCs w:val="22"/>
        </w:rPr>
        <w:t xml:space="preserve">. </w:t>
      </w:r>
      <w:r>
        <w:rPr>
          <w:rFonts w:ascii="Times New Roman" w:hAnsi="Times New Roman"/>
          <w:i w:val="false"/>
          <w:iCs w:val="false"/>
          <w:sz w:val="22"/>
          <w:szCs w:val="22"/>
        </w:rPr>
        <w:t>Nabídková cena musí obsahovat veškeré nutné náklady k realizaci předmětu veřejné zakázky včetně souvisejících nákla</w:t>
        <w:softHyphen/>
        <w:t>dů uvedených v čl. 2 této Výzvy.</w:t>
      </w:r>
    </w:p>
    <w:p>
      <w:pPr>
        <w:pStyle w:val="Normal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 w:eastAsia="MS Mincho;MS Gothic" w:cs="Arial"/>
          <w:i w:val="false"/>
          <w:i w:val="false"/>
          <w:iCs w:val="false"/>
          <w:sz w:val="22"/>
          <w:szCs w:val="22"/>
        </w:rPr>
      </w:pP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>Nabídková cena bude uvedena v </w:t>
      </w: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 xml:space="preserve">Kč </w:t>
      </w: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 xml:space="preserve">v členění: cena bez daně z přidané hodnoty, daň z přidané hodnoty a celková nabídková cena s daní z přidané hodnoty. Celková nabídková cena v této skladbě bude uvedena na krycím listu nabídky. Nabídková cena bude zpracována v souladu se  zadávací dokumentací </w:t>
      </w: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 xml:space="preserve">a </w:t>
      </w: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>bude stanovena jako cena nejvýše přípustná.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10. Platební a obchodní podmínky: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Obchodní a platební podmínky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jsou specifikovány v přiloženém závazném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návrhu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kupní s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mlouvy.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11. Požadavky na varianty nabídky a na subdodavatelský systém: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Justified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color w:val="000000"/>
          <w:sz w:val="22"/>
          <w:szCs w:val="22"/>
        </w:rPr>
        <w:t xml:space="preserve">Zadavatel nepřipouští varianty nabídky. Zhotovitel není oprávněn postoupit práva a povinnosti, závazky a pohledávky ze smlouvy o dílo třetím osobám, bez písemného souhlasu objednatele. </w:t>
      </w:r>
      <w:r>
        <w:rPr>
          <w:rFonts w:ascii="Times New Roman" w:hAnsi="Times New Roman"/>
          <w:i w:val="false"/>
          <w:iCs w:val="false"/>
          <w:sz w:val="22"/>
          <w:szCs w:val="22"/>
        </w:rPr>
        <w:t>Za subdodávku je pro tento účel považována realizace dílčích zakázek jinými subjekty pro vítěze zadávacího řízení. Uchazeč ve své  nabídce uvede části veřejné zakázky, které má v úmyslu zadat jednomu či více subdodavatelům včetně identifikačních údajů těchto subdodavatelů.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dsazentlatextu"/>
              <w:keepNext w:val="false"/>
              <w:pageBreakBefore w:val="false"/>
              <w:widowControl w:val="false"/>
              <w:tabs>
                <w:tab w:val="clear" w:pos="720"/>
                <w:tab w:val="left" w:pos="3084" w:leader="none"/>
                <w:tab w:val="center" w:pos="4847" w:leader="none"/>
              </w:tabs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12. Způsob hodnocení nabídek: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autoSpaceDE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Základním hodnotícím kritériem pro zadání veřejné zakázky je 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 xml:space="preserve">nejnižší nabídková cena (v Kč) 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>včetně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 xml:space="preserve"> DPH.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 </w:t>
      </w:r>
      <w:r>
        <w:rPr>
          <w:rFonts w:cs="Times New Roman" w:ascii="Times New Roman" w:hAnsi="Times New Roman"/>
          <w:i w:val="false"/>
          <w:iCs w:val="false"/>
          <w:sz w:val="22"/>
          <w:szCs w:val="22"/>
        </w:rPr>
        <w:t>Hodnotící komise provede hodnocení nabídek podle výše nabídkových cen (</w:t>
      </w:r>
      <w:r>
        <w:rPr>
          <w:rFonts w:cs="Times New Roman" w:ascii="Times New Roman" w:hAnsi="Times New Roman"/>
          <w:i w:val="false"/>
          <w:iCs w:val="false"/>
          <w:sz w:val="22"/>
          <w:szCs w:val="22"/>
        </w:rPr>
        <w:t>bez</w:t>
      </w:r>
      <w:r>
        <w:rPr>
          <w:rFonts w:cs="Times New Roman" w:ascii="Times New Roman" w:hAnsi="Times New Roman"/>
          <w:i w:val="false"/>
          <w:iCs w:val="false"/>
          <w:sz w:val="22"/>
          <w:szCs w:val="22"/>
        </w:rPr>
        <w:t xml:space="preserve"> DPH) tak, že sestaví pořadí uchazečů od prvého k poslednímu s ohledem na výši nabídkových cen. Nejvhodnější nabídkou je nabídka s nejnižší nabídkovou cenu.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13. Lhůta pro podání nabídky a podávání nabídky: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>Nabídky se podávají písemně v listinné podobě ve lhůtě pro podání nabídek,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která je zadavatelem stanovena do 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center"/>
        <w:rPr>
          <w:rFonts w:ascii="Times New Roman" w:hAnsi="Times New Roman"/>
          <w:i w:val="false"/>
          <w:i w:val="false"/>
          <w:iCs w:val="false"/>
          <w:sz w:val="32"/>
          <w:szCs w:val="32"/>
        </w:rPr>
      </w:pPr>
      <w:r>
        <w:rPr>
          <w:rFonts w:ascii="Times New Roman" w:hAnsi="Times New Roman"/>
          <w:b/>
          <w:i w:val="false"/>
          <w:iCs w:val="false"/>
          <w:sz w:val="32"/>
          <w:szCs w:val="32"/>
        </w:rPr>
        <w:t>30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 xml:space="preserve">. 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>srpna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 xml:space="preserve"> 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>2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0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2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1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 xml:space="preserve"> do 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1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7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 xml:space="preserve">:00 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>hodin</w:t>
      </w:r>
    </w:p>
    <w:p>
      <w:pPr>
        <w:pStyle w:val="Normal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bCs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Nabídky lze doručit osobně (v době úředních hodin zadavatele – 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>v pondělí 08:00–12:00, ve čtvrtek 13:00–17:00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), prostřednictvím osoby, která provádí přepravu zásilek (kurýrní služba), prostřednictvím držitele poštovní licence podle zvláštního právního předpisu nebo jiným způsobem. Nabídka v listinné podobě musí být podána v řádně uzavřené obálce označené názvem 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>„</w:t>
      </w:r>
      <w:r>
        <w:rPr>
          <w:rFonts w:ascii="Times New Roman" w:hAnsi="Times New Roman"/>
          <w:b/>
          <w:i w:val="false"/>
          <w:iCs w:val="false"/>
          <w:sz w:val="28"/>
          <w:szCs w:val="28"/>
        </w:rPr>
        <w:t xml:space="preserve">NEOTEVÍRAT – </w:t>
      </w:r>
      <w:r>
        <w:rPr>
          <w:rFonts w:ascii="Times New Roman" w:hAnsi="Times New Roman"/>
          <w:b/>
          <w:i w:val="false"/>
          <w:iCs w:val="false"/>
          <w:sz w:val="28"/>
          <w:szCs w:val="28"/>
        </w:rPr>
        <w:t>Rekonstrukce požární zbrojnice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>“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 a na obálce musí být uvedena adresa uchazeče. Uzavřením obálky se pro účely této výzvy rozumí opatření obálky na uzavření podpisem a razítkem uchazeče.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Na nabídku podanou po uplynutí lhůty pro podání nabídek se bude pohlížet, jako by nebyla podána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. 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Nabídku lze podat podáním do datové schránky zadavatele (7wjajvb) ve stejné lhůtě. 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Nabídky podávané 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>jiným způsobem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 jsou nepřípustné.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bCs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autoSpaceDE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Uchazeč, který podal nabídku v tomto zadávacím řízení, nesmí být současně subdodavatelem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>,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jehož prostřednictvím jiný dodavatel v tomto zadávacím řízení prokazuje kvalifikaci. Pokud uchazeč podá více nabídek samostatně nebo společně s dalšími uchazeči, nebo je subdodavatelem, jehož prostřednictvím jiný uchazeč v tomto zadávacím řízení prokazuje kvalifikaci, zadavatel všechny nabídky podané takovým uchazečem vyřadí. Uchazeče, jehož nabídka byla vyřazena, zadavatel bezodkladně vyloučí z účasti v zadávacím řízení.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14. Doba a místo otevírání obálek s nabídkami: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Otevírání obálek s nabídkami se uskuteční </w:t>
      </w:r>
      <w:r>
        <w:rPr>
          <w:rFonts w:ascii="Times New Roman" w:hAnsi="Times New Roman"/>
          <w:b/>
          <w:bCs/>
          <w:i w:val="false"/>
          <w:iCs w:val="false"/>
          <w:sz w:val="28"/>
          <w:szCs w:val="28"/>
        </w:rPr>
        <w:t xml:space="preserve">v </w:t>
      </w:r>
      <w:r>
        <w:rPr>
          <w:rFonts w:ascii="Times New Roman" w:hAnsi="Times New Roman"/>
          <w:b/>
          <w:bCs/>
          <w:i w:val="false"/>
          <w:iCs w:val="false"/>
          <w:sz w:val="28"/>
          <w:szCs w:val="28"/>
        </w:rPr>
        <w:t>pondělí</w:t>
      </w:r>
      <w:r>
        <w:rPr>
          <w:rFonts w:ascii="Times New Roman" w:hAnsi="Times New Roman"/>
          <w:b/>
          <w:bCs/>
          <w:i w:val="false"/>
          <w:iCs w:val="false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 w:val="false"/>
          <w:iCs w:val="false"/>
          <w:sz w:val="28"/>
          <w:szCs w:val="28"/>
        </w:rPr>
        <w:t>30</w:t>
      </w:r>
      <w:r>
        <w:rPr>
          <w:rFonts w:ascii="Times New Roman" w:hAnsi="Times New Roman"/>
          <w:b/>
          <w:bCs/>
          <w:i w:val="false"/>
          <w:iCs w:val="false"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i w:val="false"/>
          <w:iCs w:val="false"/>
          <w:sz w:val="28"/>
          <w:szCs w:val="28"/>
        </w:rPr>
        <w:t>srpna</w:t>
      </w:r>
      <w:r>
        <w:rPr>
          <w:rFonts w:ascii="Times New Roman" w:hAnsi="Times New Roman"/>
          <w:b/>
          <w:bCs/>
          <w:i w:val="false"/>
          <w:iCs w:val="false"/>
          <w:sz w:val="28"/>
          <w:szCs w:val="28"/>
        </w:rPr>
        <w:t xml:space="preserve"> 20</w:t>
      </w:r>
      <w:r>
        <w:rPr>
          <w:rFonts w:ascii="Times New Roman" w:hAnsi="Times New Roman"/>
          <w:b/>
          <w:bCs/>
          <w:i w:val="false"/>
          <w:iCs w:val="false"/>
          <w:sz w:val="28"/>
          <w:szCs w:val="28"/>
        </w:rPr>
        <w:t>2</w:t>
      </w:r>
      <w:r>
        <w:rPr>
          <w:rFonts w:ascii="Times New Roman" w:hAnsi="Times New Roman"/>
          <w:b/>
          <w:bCs/>
          <w:i w:val="false"/>
          <w:iCs w:val="false"/>
          <w:sz w:val="28"/>
          <w:szCs w:val="28"/>
        </w:rPr>
        <w:t>1</w:t>
      </w:r>
      <w:r>
        <w:rPr>
          <w:rFonts w:ascii="Times New Roman" w:hAnsi="Times New Roman"/>
          <w:b/>
          <w:bCs/>
          <w:i w:val="false"/>
          <w:iCs w:val="false"/>
          <w:sz w:val="28"/>
          <w:szCs w:val="28"/>
        </w:rPr>
        <w:t xml:space="preserve"> od </w:t>
      </w:r>
      <w:r>
        <w:rPr>
          <w:rFonts w:ascii="Times New Roman" w:hAnsi="Times New Roman"/>
          <w:b/>
          <w:bCs/>
          <w:i w:val="false"/>
          <w:iCs w:val="false"/>
          <w:sz w:val="28"/>
          <w:szCs w:val="28"/>
        </w:rPr>
        <w:t>20</w:t>
      </w:r>
      <w:r>
        <w:rPr>
          <w:rFonts w:ascii="Times New Roman" w:hAnsi="Times New Roman"/>
          <w:b/>
          <w:bCs/>
          <w:i w:val="false"/>
          <w:iCs w:val="false"/>
          <w:sz w:val="28"/>
          <w:szCs w:val="28"/>
        </w:rPr>
        <w:t>:</w:t>
      </w:r>
      <w:r>
        <w:rPr>
          <w:rFonts w:ascii="Times New Roman" w:hAnsi="Times New Roman"/>
          <w:b/>
          <w:bCs/>
          <w:i w:val="false"/>
          <w:iCs w:val="false"/>
          <w:sz w:val="28"/>
          <w:szCs w:val="28"/>
        </w:rPr>
        <w:t>30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v </w:t>
      </w:r>
      <w:r>
        <w:rPr>
          <w:rFonts w:ascii="Times New Roman" w:hAnsi="Times New Roman"/>
          <w:i w:val="false"/>
          <w:iCs w:val="false"/>
          <w:sz w:val="22"/>
          <w:szCs w:val="22"/>
        </w:rPr>
        <w:t>zasedací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místnosti zadavatele.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15. Další práva a podmínky vyhrazené zadavatelem: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Justified"/>
        <w:keepNext w:val="false"/>
        <w:pageBreakBefore w:val="false"/>
        <w:widowControl w:val="false"/>
        <w:suppressAutoHyphens w:val="false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Zadavatel si vyhrazuje právo zrušit zadávací řízení kdykoliv bez udání důvodu. 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>Uchazeč nemá právo na náhradu nákladů spojených s účastí v zadávacím řízení. Nabídky se uchazečům nevracejí a zůstávají u zadavatele jako součást dokumentace o zadání zakázky.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16. Přílohy: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Textbodu"/>
        <w:keepNext w:val="false"/>
        <w:pageBreakBefore w:val="false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0" w:hanging="36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Krycí list </w:t>
      </w:r>
      <w:r>
        <w:rPr>
          <w:rFonts w:ascii="Times New Roman" w:hAnsi="Times New Roman"/>
          <w:i w:val="false"/>
          <w:iCs w:val="false"/>
          <w:sz w:val="22"/>
          <w:szCs w:val="22"/>
        </w:rPr>
        <w:t>nabídky</w:t>
      </w:r>
    </w:p>
    <w:p>
      <w:pPr>
        <w:pStyle w:val="Textbodu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0" w:hanging="36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Soupis prací</w:t>
      </w:r>
    </w:p>
    <w:p>
      <w:pPr>
        <w:pStyle w:val="Textbodu"/>
        <w:keepNext w:val="false"/>
        <w:pageBreakBefore w:val="false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0" w:hanging="36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Čestné prohlášení o prokázání kvalifikačních předpokladů</w:t>
      </w:r>
    </w:p>
    <w:p>
      <w:pPr>
        <w:pStyle w:val="Textbodu"/>
        <w:keepNext w:val="false"/>
        <w:pageBreakBefore w:val="false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0" w:hanging="36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Návrh </w:t>
      </w:r>
      <w:r>
        <w:rPr>
          <w:rFonts w:ascii="Times New Roman" w:hAnsi="Times New Roman"/>
          <w:i w:val="false"/>
          <w:iCs w:val="false"/>
          <w:sz w:val="22"/>
          <w:szCs w:val="22"/>
        </w:rPr>
        <w:t>kupní s</w:t>
      </w:r>
      <w:r>
        <w:rPr>
          <w:rFonts w:ascii="Times New Roman" w:hAnsi="Times New Roman"/>
          <w:i w:val="false"/>
          <w:iCs w:val="false"/>
          <w:sz w:val="22"/>
          <w:szCs w:val="22"/>
        </w:rPr>
        <w:t>mlouvy</w:t>
      </w:r>
    </w:p>
    <w:p>
      <w:pPr>
        <w:pStyle w:val="Textbodu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0" w:hanging="36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Projektová dokumentace stavby</w:t>
      </w:r>
    </w:p>
    <w:p>
      <w:pPr>
        <w:pStyle w:val="Odsazentlatextu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Odsazentlatextu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V Bělči dne: </w:t>
      </w:r>
      <w:r>
        <w:rPr>
          <w:rFonts w:ascii="Times New Roman" w:hAnsi="Times New Roman"/>
          <w:i w:val="false"/>
          <w:iCs w:val="false"/>
          <w:sz w:val="22"/>
          <w:szCs w:val="22"/>
        </w:rPr>
        <w:t>14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. </w:t>
      </w:r>
      <w:r>
        <w:rPr>
          <w:rFonts w:ascii="Times New Roman" w:hAnsi="Times New Roman"/>
          <w:i w:val="false"/>
          <w:iCs w:val="false"/>
          <w:sz w:val="22"/>
          <w:szCs w:val="22"/>
        </w:rPr>
        <w:t>srpn</w:t>
      </w:r>
      <w:r>
        <w:rPr>
          <w:rFonts w:ascii="Times New Roman" w:hAnsi="Times New Roman"/>
          <w:i w:val="false"/>
          <w:iCs w:val="false"/>
          <w:sz w:val="22"/>
          <w:szCs w:val="22"/>
        </w:rPr>
        <w:t>a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sz w:val="22"/>
          <w:szCs w:val="22"/>
        </w:rPr>
        <w:t>20</w:t>
      </w:r>
      <w:r>
        <w:rPr>
          <w:rFonts w:ascii="Times New Roman" w:hAnsi="Times New Roman"/>
          <w:i w:val="false"/>
          <w:iCs w:val="false"/>
          <w:sz w:val="22"/>
          <w:szCs w:val="22"/>
        </w:rPr>
        <w:t>2</w:t>
      </w:r>
      <w:r>
        <w:rPr>
          <w:rFonts w:ascii="Times New Roman" w:hAnsi="Times New Roman"/>
          <w:i w:val="false"/>
          <w:iCs w:val="false"/>
          <w:sz w:val="22"/>
          <w:szCs w:val="22"/>
        </w:rPr>
        <w:t>1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…………………………………………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Stanislav Šmejkal, </w:t>
      </w:r>
      <w:r>
        <w:rPr>
          <w:rFonts w:ascii="Times New Roman" w:hAnsi="Times New Roman"/>
          <w:i w:val="false"/>
          <w:iCs w:val="false"/>
          <w:sz w:val="22"/>
          <w:szCs w:val="22"/>
        </w:rPr>
        <w:t>starosta obce</w:t>
      </w:r>
    </w:p>
    <w:p>
      <w:pPr>
        <w:pStyle w:val="NoSpacing"/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Spacing"/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Spacing"/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Spacing"/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Zveřejněno na úřední desce</w:t>
        <w:tab/>
        <w:t>dne ......................... .............................. ..............................</w:t>
      </w:r>
    </w:p>
    <w:p>
      <w:pPr>
        <w:pStyle w:val="NoSpacing"/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(vč. zveřejnění v elektronické podobě)</w:t>
      </w:r>
    </w:p>
    <w:p>
      <w:pPr>
        <w:pStyle w:val="NoSpacing"/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Spacing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Sejmuto z úřední desky</w:t>
        <w:tab/>
        <w:tab/>
        <w:t>dne ......................... .............................. ..............................</w:t>
      </w:r>
      <w:r>
        <w:br w:type="page"/>
      </w:r>
    </w:p>
    <w:p>
      <w:pPr>
        <w:pStyle w:val="Normal"/>
        <w:widowControl w:val="false"/>
        <w:suppressAutoHyphens w:val="false"/>
        <w:spacing w:lineRule="auto" w:line="240" w:before="0" w:after="0"/>
        <w:jc w:val="right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Příloha č. 1</w:t>
      </w:r>
    </w:p>
    <w:tbl>
      <w:tblPr>
        <w:tblW w:w="10772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834"/>
        <w:gridCol w:w="7938"/>
      </w:tblGrid>
      <w:tr>
        <w:trPr/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 veřejné zakázky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Rekonstrukce požární zbrojnice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Číslo zakázky,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zadávací řízení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OB/VZ/20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/00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, 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V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Z malého rozsahu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na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stavební práce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, mimo režim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ZZVZ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Zadavatel, sídlo, IČO, DIČ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Obec Běleč, Běleč 22, 39143 Běleč, IČ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 00582506, DIČ CZ00582506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Zastoupený, telefon, email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Stanislav Šmejkal, starosta, tel. 724189517, email smejkal@obecbelec.cz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jc w:val="right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center"/>
        <w:rPr>
          <w:rFonts w:ascii="Times New Roman" w:hAnsi="Times New Roman"/>
          <w:b/>
          <w:b/>
          <w:bCs/>
          <w:i w:val="false"/>
          <w:i w:val="false"/>
          <w:iCs w:val="false"/>
          <w:sz w:val="32"/>
          <w:szCs w:val="32"/>
        </w:rPr>
      </w:pP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Krycí list nabídky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Uchazeč</w:t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514"/>
        <w:gridCol w:w="6258"/>
      </w:tblGrid>
      <w:tr>
        <w:trPr/>
        <w:tc>
          <w:tcPr>
            <w:tcW w:w="4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</w:t>
            </w:r>
          </w:p>
        </w:tc>
        <w:tc>
          <w:tcPr>
            <w:tcW w:w="6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Sídlo/místo podnikání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IČO/DIČ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Osoba oprávněná jednat jménem uchazeče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Kontaktní osoba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Telefon, email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Bankovní spojení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Nabídková cena</w:t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249"/>
        <w:gridCol w:w="2835"/>
        <w:gridCol w:w="2265"/>
        <w:gridCol w:w="3423"/>
      </w:tblGrid>
      <w:tr>
        <w:trPr/>
        <w:tc>
          <w:tcPr>
            <w:tcW w:w="2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Cena celkem v Kč bez DPH</w:t>
            </w:r>
          </w:p>
        </w:tc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DPH</w:t>
            </w:r>
          </w:p>
        </w:tc>
        <w:tc>
          <w:tcPr>
            <w:tcW w:w="3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Cena celkem v Kč včetně DPH</w:t>
            </w:r>
          </w:p>
        </w:tc>
      </w:tr>
      <w:tr>
        <w:trPr/>
        <w:tc>
          <w:tcPr>
            <w:tcW w:w="224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Cena celkem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170" w:type="dxa"/>
            </w:tcMar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right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170" w:type="dxa"/>
            </w:tcMar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right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  <w:tc>
          <w:tcPr>
            <w:tcW w:w="34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170" w:type="dxa"/>
            </w:tcMar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right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Prohlašuji, že jsem vázán celým obsahem nabídky po celou dobu zadávací lhůty.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Souhlasím/-e se zveřejněním posouzení splnění kvalifikačních předpokladů, hodnocení nabídek, uzavřené smlouvy a všech jejích dodatků zadavatelem veřejné zakázky.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V ............................. dne ............................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..................................................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razítko a podpis uchazeče</w:t>
      </w:r>
      <w:r>
        <w:br w:type="page"/>
      </w:r>
    </w:p>
    <w:p>
      <w:pPr>
        <w:pStyle w:val="Normal"/>
        <w:widowControl w:val="false"/>
        <w:suppressAutoHyphens w:val="false"/>
        <w:jc w:val="right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Příloha č. </w:t>
      </w:r>
      <w:r>
        <w:rPr>
          <w:rFonts w:ascii="Times New Roman" w:hAnsi="Times New Roman"/>
          <w:i w:val="false"/>
          <w:iCs w:val="false"/>
          <w:sz w:val="22"/>
          <w:szCs w:val="22"/>
        </w:rPr>
        <w:t>3</w:t>
      </w:r>
    </w:p>
    <w:tbl>
      <w:tblPr>
        <w:tblW w:w="10772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834"/>
        <w:gridCol w:w="7938"/>
      </w:tblGrid>
      <w:tr>
        <w:trPr/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 veřejné zakázky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Rekonstrukce požární zbrojnice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Číslo zakázky,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zadávací řízení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OB/VZ/20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/00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, 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V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Z malého rozsahu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na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stavební práce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, mimo režim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ZZVZ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Zadavatel, sídlo, IČO, DIČ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Obec Běleč, Běleč 22, 39143 Běleč, IČ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 00582506, DIČ CZ00582506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Zastoupený, telefon, email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Stanislav Šmejkal, starosta, tel. 724189517, email smejkal@obecbelec.cz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jc w:val="right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center"/>
        <w:rPr>
          <w:rFonts w:ascii="Times New Roman" w:hAnsi="Times New Roman"/>
          <w:i w:val="false"/>
          <w:i w:val="false"/>
          <w:iCs w:val="false"/>
          <w:sz w:val="32"/>
          <w:szCs w:val="32"/>
        </w:rPr>
      </w:pP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 xml:space="preserve">Čestné prohlášení o 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prokázání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 xml:space="preserve"> kvalifikačních předpokladů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Uchazeč</w:t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33"/>
        <w:gridCol w:w="6803"/>
        <w:gridCol w:w="1134"/>
        <w:gridCol w:w="1702"/>
      </w:tblGrid>
      <w:tr>
        <w:trPr/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</w:t>
            </w:r>
          </w:p>
        </w:tc>
        <w:tc>
          <w:tcPr>
            <w:tcW w:w="6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IČO/DIČ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prohlašuje, že: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a) 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b) 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c) v posledních 3 letech nenaplnil skutkovou podstatu jednání nekalé soutěže formou podplácení podle zvláštního právního předpisu,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d) vůči jeho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e) není v likvidaci,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f) nemá v evidenci daní zachyceny daňové nedoplatky, a to jak v České republice, tak v zemi sídla, místa podnikání či bydliště dodavatele,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g) nemá nedoplatek na pojistném a na penále na veřejné zdravotní pojištění, a to jak v České republice, tak v zemi sídla, místa podnikání či bydliště dodavatele,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h) nemá nedoplatek na pojistném a na penále na sociální zabezpečení a příspěvku na státní politiku zaměstnanosti, a to jak v České republice, tak v zemi sídla, místa podnikání či bydliště dodavatele,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i) nebyl v posledních 3 letech pravomocně disciplinárně potrestán či mu nebylo pravomocně uloženo kárné opatření podle zvláštních právních předpisů, je-li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j) není veden v rejstříku osob se zákazem plnění veřejných zakázek a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 w:before="0" w:after="0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k) mu nebyla v posledních 3 letech pravomocně uložena pokuta za umožnění výkonu nelegální práce podle zvláštního právního předpisu.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V ............................. dne ............................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..................................................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 w:before="0" w:after="0"/>
        <w:ind w:left="210" w:right="0" w:hanging="210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razítko a podpis uchazeče</w:t>
      </w:r>
      <w:r>
        <w:br w:type="page"/>
      </w:r>
    </w:p>
    <w:p>
      <w:pPr>
        <w:pStyle w:val="Normal"/>
        <w:widowControl w:val="false"/>
        <w:suppressAutoHyphens w:val="false"/>
        <w:spacing w:lineRule="auto" w:line="240"/>
        <w:jc w:val="right"/>
        <w:rPr>
          <w:rFonts w:ascii="Times New Roman" w:hAnsi="Times New Roman" w:cs="Tahoma"/>
          <w:b w:val="false"/>
          <w:b w:val="false"/>
          <w:bCs w:val="false"/>
          <w:sz w:val="22"/>
          <w:szCs w:val="22"/>
          <w:u w:val="none"/>
        </w:rPr>
      </w:pPr>
      <w:r>
        <w:rPr>
          <w:rFonts w:cs="Tahoma" w:ascii="Times New Roman" w:hAnsi="Times New Roman"/>
          <w:b w:val="false"/>
          <w:bCs w:val="false"/>
          <w:sz w:val="22"/>
          <w:szCs w:val="22"/>
          <w:u w:val="none"/>
        </w:rPr>
        <w:t xml:space="preserve">Příloha č. </w:t>
      </w:r>
      <w:r>
        <w:rPr>
          <w:rFonts w:cs="Tahoma" w:ascii="Times New Roman" w:hAnsi="Times New Roman"/>
          <w:b w:val="false"/>
          <w:bCs w:val="false"/>
          <w:sz w:val="22"/>
          <w:szCs w:val="22"/>
          <w:u w:val="none"/>
        </w:rPr>
        <w:t>4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32"/>
          <w:szCs w:val="32"/>
          <w:u w:val="single"/>
        </w:rPr>
      </w:pPr>
      <w:r>
        <w:rPr>
          <w:rFonts w:cs="Tahoma" w:ascii="Times New Roman" w:hAnsi="Times New Roman"/>
          <w:b/>
          <w:sz w:val="32"/>
          <w:szCs w:val="32"/>
          <w:u w:val="single"/>
        </w:rPr>
        <w:t>SMLOUVA O DÍLO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  <w:t>A. SMLUVNÍ STRANY: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</w:rPr>
      </w:r>
    </w:p>
    <w:tbl>
      <w:tblPr>
        <w:tblW w:w="10772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39"/>
        <w:gridCol w:w="4533"/>
      </w:tblGrid>
      <w:tr>
        <w:trPr/>
        <w:tc>
          <w:tcPr>
            <w:tcW w:w="6239" w:type="dxa"/>
            <w:tcBorders/>
          </w:tcPr>
          <w:p>
            <w:pPr>
              <w:pStyle w:val="Normal"/>
              <w:pageBreakBefore w:val="false"/>
              <w:widowControl w:val="false"/>
              <w:tabs>
                <w:tab w:val="clear" w:pos="720"/>
                <w:tab w:val="left" w:pos="1560" w:leader="none"/>
              </w:tabs>
              <w:suppressAutoHyphens w:val="false"/>
              <w:spacing w:lineRule="auto" w:line="240"/>
              <w:rPr>
                <w:rFonts w:ascii="Times New Roman" w:hAnsi="Times New Roman" w:cs="Tahoma"/>
                <w:b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cs="Tahoma" w:ascii="Times New Roman" w:hAnsi="Times New Roman"/>
                <w:b/>
                <w:bCs/>
                <w:color w:val="000000"/>
                <w:sz w:val="22"/>
                <w:szCs w:val="22"/>
                <w:u w:val="single"/>
              </w:rPr>
              <w:t xml:space="preserve">1. </w:t>
            </w:r>
            <w:r>
              <w:rPr>
                <w:rFonts w:cs="Tahoma" w:ascii="Times New Roman" w:hAnsi="Times New Roman"/>
                <w:b/>
                <w:bCs/>
                <w:color w:val="000000"/>
                <w:sz w:val="22"/>
                <w:szCs w:val="22"/>
                <w:u w:val="single"/>
              </w:rPr>
              <w:t>Zhotovitel</w:t>
            </w:r>
          </w:p>
          <w:p>
            <w:pPr>
              <w:pStyle w:val="Normal"/>
              <w:keepNext w:val="false"/>
              <w:pageBreakBefore w:val="false"/>
              <w:widowControl w:val="false"/>
              <w:tabs>
                <w:tab w:val="clear" w:pos="720"/>
                <w:tab w:val="left" w:pos="2265" w:leader="none"/>
              </w:tabs>
              <w:suppressAutoHyphens w:val="false"/>
              <w:spacing w:lineRule="auto" w:line="240"/>
              <w:rPr>
                <w:rFonts w:ascii="Times New Roman" w:hAnsi="Times New Roman" w:cs="Tahoma"/>
                <w:bCs/>
                <w:color w:val="000000"/>
                <w:sz w:val="22"/>
                <w:szCs w:val="22"/>
              </w:rPr>
            </w:pPr>
            <w:r>
              <w:rPr>
                <w:rFonts w:cs="Tahoma" w:ascii="Times New Roman" w:hAnsi="Times New Roman"/>
                <w:bCs/>
                <w:color w:val="000000"/>
                <w:sz w:val="22"/>
                <w:szCs w:val="22"/>
              </w:rPr>
              <w:t>Název:</w:t>
              <w:tab/>
            </w:r>
          </w:p>
          <w:p>
            <w:pPr>
              <w:pStyle w:val="Normal"/>
              <w:keepNext w:val="false"/>
              <w:pageBreakBefore w:val="false"/>
              <w:widowControl w:val="false"/>
              <w:tabs>
                <w:tab w:val="clear" w:pos="720"/>
                <w:tab w:val="left" w:pos="2265" w:leader="none"/>
              </w:tabs>
              <w:suppressAutoHyphens w:val="false"/>
              <w:spacing w:lineRule="auto" w:line="240"/>
              <w:rPr>
                <w:rFonts w:ascii="Times New Roman" w:hAnsi="Times New Roman" w:cs="Tahoma"/>
                <w:bCs/>
                <w:color w:val="000000"/>
                <w:sz w:val="22"/>
                <w:szCs w:val="22"/>
                <w:shd w:fill="auto" w:val="clear"/>
              </w:rPr>
            </w:pPr>
            <w:r>
              <w:rPr>
                <w:rFonts w:cs="Tahoma" w:ascii="Times New Roman" w:hAnsi="Times New Roman"/>
                <w:bCs/>
                <w:color w:val="000000"/>
                <w:sz w:val="22"/>
                <w:szCs w:val="22"/>
                <w:shd w:fill="auto" w:val="clear"/>
              </w:rPr>
              <w:t xml:space="preserve">Sídlo: </w:t>
              <w:tab/>
            </w:r>
          </w:p>
          <w:p>
            <w:pPr>
              <w:pStyle w:val="Normal"/>
              <w:keepNext w:val="false"/>
              <w:pageBreakBefore w:val="false"/>
              <w:widowControl w:val="false"/>
              <w:tabs>
                <w:tab w:val="clear" w:pos="720"/>
                <w:tab w:val="left" w:pos="2265" w:leader="none"/>
              </w:tabs>
              <w:suppressAutoHyphens w:val="false"/>
              <w:spacing w:lineRule="auto" w:line="240"/>
              <w:rPr>
                <w:rFonts w:ascii="Times New Roman" w:hAnsi="Times New Roman"/>
                <w:sz w:val="22"/>
                <w:szCs w:val="22"/>
                <w:shd w:fill="auto" w:val="clear"/>
              </w:rPr>
            </w:pPr>
            <w:r>
              <w:rPr>
                <w:rFonts w:cs="Tahoma" w:ascii="Times New Roman" w:hAnsi="Times New Roman"/>
                <w:bCs/>
                <w:color w:val="000000"/>
                <w:sz w:val="22"/>
                <w:szCs w:val="22"/>
                <w:shd w:fill="auto" w:val="clear"/>
              </w:rPr>
              <w:t xml:space="preserve">IČ, </w:t>
            </w:r>
            <w:r>
              <w:rPr>
                <w:rFonts w:cs="Tahoma" w:ascii="Times New Roman" w:hAnsi="Times New Roman"/>
                <w:bCs/>
                <w:color w:val="000000"/>
                <w:sz w:val="22"/>
                <w:szCs w:val="22"/>
                <w:shd w:fill="auto" w:val="clear"/>
              </w:rPr>
              <w:t>DIČ</w:t>
            </w:r>
            <w:r>
              <w:rPr>
                <w:rFonts w:cs="Tahoma" w:ascii="Times New Roman" w:hAnsi="Times New Roman"/>
                <w:bCs/>
                <w:color w:val="000000"/>
                <w:sz w:val="22"/>
                <w:szCs w:val="22"/>
                <w:shd w:fill="auto" w:val="clear"/>
              </w:rPr>
              <w:t xml:space="preserve">: </w:t>
              <w:tab/>
            </w:r>
          </w:p>
          <w:p>
            <w:pPr>
              <w:pStyle w:val="Normal"/>
              <w:keepNext w:val="false"/>
              <w:pageBreakBefore w:val="false"/>
              <w:widowControl w:val="false"/>
              <w:tabs>
                <w:tab w:val="clear" w:pos="720"/>
                <w:tab w:val="left" w:pos="2265" w:leader="none"/>
              </w:tabs>
              <w:suppressAutoHyphens w:val="false"/>
              <w:spacing w:lineRule="auto" w:line="240"/>
              <w:rPr>
                <w:rFonts w:ascii="Times New Roman" w:hAnsi="Times New Roman" w:cs="Tahoma"/>
                <w:bCs/>
                <w:color w:val="000000"/>
                <w:sz w:val="22"/>
                <w:szCs w:val="22"/>
                <w:shd w:fill="auto" w:val="clear"/>
              </w:rPr>
            </w:pPr>
            <w:r>
              <w:rPr>
                <w:rFonts w:cs="Tahoma" w:ascii="Times New Roman" w:hAnsi="Times New Roman"/>
                <w:bCs/>
                <w:color w:val="000000"/>
                <w:sz w:val="22"/>
                <w:szCs w:val="22"/>
                <w:shd w:fill="auto" w:val="clear"/>
              </w:rPr>
              <w:t>Osoba oprávněná jednat:</w:t>
              <w:tab/>
            </w:r>
          </w:p>
          <w:p>
            <w:pPr>
              <w:pStyle w:val="Normal"/>
              <w:keepNext w:val="false"/>
              <w:pageBreakBefore w:val="false"/>
              <w:widowControl w:val="false"/>
              <w:tabs>
                <w:tab w:val="clear" w:pos="720"/>
                <w:tab w:val="left" w:pos="2265" w:leader="none"/>
              </w:tabs>
              <w:suppressAutoHyphens w:val="false"/>
              <w:spacing w:lineRule="auto" w:line="240"/>
              <w:jc w:val="both"/>
              <w:rPr>
                <w:rFonts w:ascii="Times New Roman" w:hAnsi="Times New Roman"/>
                <w:sz w:val="22"/>
                <w:szCs w:val="22"/>
                <w:shd w:fill="auto" w:val="clear"/>
              </w:rPr>
            </w:pPr>
            <w:r>
              <w:rPr>
                <w:rFonts w:cs="Tahoma" w:ascii="Times New Roman" w:hAnsi="Times New Roman"/>
                <w:sz w:val="22"/>
                <w:szCs w:val="22"/>
                <w:shd w:fill="auto" w:val="clear"/>
              </w:rPr>
              <w:t>T</w:t>
            </w:r>
            <w:r>
              <w:rPr>
                <w:rFonts w:cs="Tahoma" w:ascii="Times New Roman" w:hAnsi="Times New Roman"/>
                <w:sz w:val="22"/>
                <w:szCs w:val="22"/>
                <w:shd w:fill="auto" w:val="clear"/>
              </w:rPr>
              <w:t xml:space="preserve">el. </w:t>
            </w:r>
            <w:r>
              <w:rPr>
                <w:rFonts w:cs="Tahoma" w:ascii="Times New Roman" w:hAnsi="Times New Roman"/>
                <w:sz w:val="22"/>
                <w:szCs w:val="22"/>
                <w:shd w:fill="auto" w:val="clear"/>
              </w:rPr>
              <w:t>kontakt</w:t>
            </w:r>
            <w:r>
              <w:rPr>
                <w:rFonts w:cs="Tahoma" w:ascii="Times New Roman" w:hAnsi="Times New Roman"/>
                <w:sz w:val="22"/>
                <w:szCs w:val="22"/>
                <w:shd w:fill="auto" w:val="clear"/>
              </w:rPr>
              <w:t>:</w:t>
              <w:tab/>
            </w:r>
          </w:p>
          <w:p>
            <w:pPr>
              <w:pStyle w:val="Normal"/>
              <w:widowControl w:val="false"/>
              <w:tabs>
                <w:tab w:val="clear" w:pos="720"/>
                <w:tab w:val="left" w:pos="2265" w:leader="none"/>
              </w:tabs>
              <w:suppressAutoHyphens w:val="false"/>
              <w:spacing w:lineRule="auto" w:line="240"/>
              <w:jc w:val="both"/>
              <w:rPr>
                <w:rFonts w:ascii="Times New Roman" w:hAnsi="Times New Roman"/>
                <w:sz w:val="22"/>
                <w:szCs w:val="22"/>
                <w:shd w:fill="auto" w:val="clear"/>
              </w:rPr>
            </w:pPr>
            <w:r>
              <w:rPr>
                <w:rFonts w:cs="Tahoma" w:ascii="Times New Roman" w:hAnsi="Times New Roman"/>
                <w:sz w:val="22"/>
                <w:szCs w:val="22"/>
                <w:shd w:fill="auto" w:val="clear"/>
              </w:rPr>
              <w:t>E</w:t>
            </w:r>
            <w:r>
              <w:rPr>
                <w:rFonts w:cs="Tahoma" w:ascii="Times New Roman" w:hAnsi="Times New Roman"/>
                <w:sz w:val="22"/>
                <w:szCs w:val="22"/>
                <w:shd w:fill="auto" w:val="clear"/>
              </w:rPr>
              <w:t>-mail</w:t>
            </w:r>
            <w:r>
              <w:rPr>
                <w:rFonts w:cs="Tahoma" w:ascii="Times New Roman" w:hAnsi="Times New Roman"/>
                <w:sz w:val="22"/>
                <w:szCs w:val="22"/>
                <w:shd w:fill="auto" w:val="clear"/>
              </w:rPr>
              <w:t>:</w:t>
              <w:tab/>
            </w:r>
          </w:p>
          <w:p>
            <w:pPr>
              <w:pStyle w:val="Normal"/>
              <w:keepNext w:val="false"/>
              <w:widowControl w:val="false"/>
              <w:tabs>
                <w:tab w:val="clear" w:pos="720"/>
                <w:tab w:val="left" w:pos="2265" w:leader="none"/>
              </w:tabs>
              <w:suppressAutoHyphens w:val="false"/>
              <w:spacing w:lineRule="auto" w:line="240"/>
              <w:rPr>
                <w:rFonts w:ascii="Times New Roman" w:hAnsi="Times New Roman"/>
                <w:sz w:val="22"/>
                <w:szCs w:val="22"/>
                <w:shd w:fill="auto" w:val="clear"/>
              </w:rPr>
            </w:pPr>
            <w:r>
              <w:rPr>
                <w:rFonts w:cs="Tahoma" w:ascii="Times New Roman" w:hAnsi="Times New Roman"/>
                <w:sz w:val="22"/>
                <w:szCs w:val="22"/>
                <w:shd w:fill="auto" w:val="clear"/>
              </w:rPr>
              <w:t>B</w:t>
            </w:r>
            <w:r>
              <w:rPr>
                <w:rFonts w:cs="Tahoma" w:ascii="Times New Roman" w:hAnsi="Times New Roman"/>
                <w:sz w:val="22"/>
                <w:szCs w:val="22"/>
                <w:shd w:fill="auto" w:val="clear"/>
              </w:rPr>
              <w:t>ankovní spojení:</w:t>
              <w:tab/>
            </w:r>
          </w:p>
        </w:tc>
        <w:tc>
          <w:tcPr>
            <w:tcW w:w="4533" w:type="dxa"/>
            <w:tcBorders/>
          </w:tcPr>
          <w:p>
            <w:pPr>
              <w:pStyle w:val="Normal"/>
              <w:keepNext w:val="false"/>
              <w:pageBreakBefore w:val="false"/>
              <w:widowControl w:val="false"/>
              <w:tabs>
                <w:tab w:val="clear" w:pos="720"/>
                <w:tab w:val="left" w:pos="1560" w:leader="none"/>
              </w:tabs>
              <w:suppressAutoHyphens w:val="false"/>
              <w:spacing w:lineRule="auto" w:line="240"/>
              <w:rPr>
                <w:rFonts w:ascii="Times New Roman" w:hAnsi="Times New Roman" w:cs="Tahoma"/>
                <w:b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cs="Tahoma" w:ascii="Times New Roman" w:hAnsi="Times New Roman"/>
                <w:b/>
                <w:bCs/>
                <w:color w:val="000000"/>
                <w:sz w:val="22"/>
                <w:szCs w:val="22"/>
                <w:u w:val="single"/>
              </w:rPr>
              <w:t xml:space="preserve">2. </w:t>
            </w:r>
            <w:r>
              <w:rPr>
                <w:rFonts w:cs="Tahoma" w:ascii="Times New Roman" w:hAnsi="Times New Roman"/>
                <w:b/>
                <w:bCs/>
                <w:color w:val="000000"/>
                <w:sz w:val="22"/>
                <w:szCs w:val="22"/>
                <w:u w:val="single"/>
              </w:rPr>
              <w:t>Objednatel</w:t>
            </w:r>
          </w:p>
          <w:p>
            <w:pPr>
              <w:pStyle w:val="Normal"/>
              <w:keepNext w:val="false"/>
              <w:pageBreakBefore w:val="false"/>
              <w:widowControl w:val="false"/>
              <w:tabs>
                <w:tab w:val="clear" w:pos="720"/>
                <w:tab w:val="left" w:pos="2265" w:leader="none"/>
              </w:tabs>
              <w:suppressAutoHyphens w:val="false"/>
              <w:spacing w:lineRule="auto" w:line="24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ahoma" w:ascii="Times New Roman" w:hAnsi="Times New Roman"/>
                <w:bCs/>
                <w:color w:val="000000"/>
                <w:sz w:val="22"/>
                <w:szCs w:val="22"/>
              </w:rPr>
              <w:t xml:space="preserve">Název: </w:t>
              <w:tab/>
            </w:r>
            <w:r>
              <w:rPr>
                <w:rFonts w:cs="Tahoma" w:ascii="Times New Roman" w:hAnsi="Times New Roman"/>
                <w:b/>
                <w:sz w:val="22"/>
                <w:szCs w:val="22"/>
              </w:rPr>
              <w:t>Obec Běleč</w:t>
            </w:r>
          </w:p>
          <w:p>
            <w:pPr>
              <w:pStyle w:val="Normal"/>
              <w:keepNext w:val="false"/>
              <w:pageBreakBefore w:val="false"/>
              <w:widowControl w:val="false"/>
              <w:tabs>
                <w:tab w:val="clear" w:pos="720"/>
                <w:tab w:val="left" w:pos="2265" w:leader="none"/>
              </w:tabs>
              <w:suppressAutoHyphens w:val="false"/>
              <w:spacing w:lineRule="auto" w:line="24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ahoma" w:ascii="Times New Roman" w:hAnsi="Times New Roman"/>
                <w:sz w:val="22"/>
                <w:szCs w:val="22"/>
              </w:rPr>
              <w:t>Sídlo:</w:t>
            </w:r>
            <w:r>
              <w:rPr>
                <w:rFonts w:cs="Tahoma" w:ascii="Times New Roman" w:hAnsi="Times New Roman"/>
                <w:bCs/>
                <w:color w:val="000000"/>
                <w:sz w:val="22"/>
                <w:szCs w:val="22"/>
              </w:rPr>
              <w:tab/>
            </w:r>
            <w:r>
              <w:rPr>
                <w:rFonts w:cs="Tahoma" w:ascii="Times New Roman" w:hAnsi="Times New Roman"/>
                <w:bCs/>
                <w:sz w:val="22"/>
                <w:szCs w:val="22"/>
              </w:rPr>
              <w:t>Běleč 22, 391 43</w:t>
            </w:r>
          </w:p>
          <w:p>
            <w:pPr>
              <w:pStyle w:val="Normal"/>
              <w:keepNext w:val="false"/>
              <w:pageBreakBefore w:val="false"/>
              <w:widowControl w:val="false"/>
              <w:tabs>
                <w:tab w:val="clear" w:pos="720"/>
                <w:tab w:val="left" w:pos="2265" w:leader="none"/>
              </w:tabs>
              <w:suppressAutoHyphens w:val="false"/>
              <w:spacing w:lineRule="auto" w:line="24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ahoma" w:ascii="Times New Roman" w:hAnsi="Times New Roman"/>
                <w:sz w:val="22"/>
                <w:szCs w:val="22"/>
              </w:rPr>
              <w:t>IČ, DIČ:</w:t>
              <w:tab/>
            </w:r>
            <w:r>
              <w:rPr>
                <w:rFonts w:cs="Tahoma" w:ascii="Times New Roman" w:hAnsi="Times New Roman"/>
                <w:bCs/>
                <w:sz w:val="22"/>
                <w:szCs w:val="22"/>
              </w:rPr>
              <w:t>00582506, CZ00582506</w:t>
            </w:r>
          </w:p>
          <w:p>
            <w:pPr>
              <w:pStyle w:val="Normal"/>
              <w:keepNext w:val="false"/>
              <w:pageBreakBefore w:val="false"/>
              <w:widowControl w:val="false"/>
              <w:tabs>
                <w:tab w:val="clear" w:pos="720"/>
                <w:tab w:val="left" w:pos="2265" w:leader="none"/>
              </w:tabs>
              <w:suppressAutoHyphens w:val="false"/>
              <w:spacing w:lineRule="auto" w:line="240"/>
              <w:rPr>
                <w:rFonts w:ascii="Times New Roman" w:hAnsi="Times New Roman" w:cs="Tahoma"/>
                <w:sz w:val="22"/>
                <w:szCs w:val="22"/>
              </w:rPr>
            </w:pPr>
            <w:r>
              <w:rPr>
                <w:rFonts w:cs="Tahoma" w:ascii="Times New Roman" w:hAnsi="Times New Roman"/>
                <w:sz w:val="22"/>
                <w:szCs w:val="22"/>
              </w:rPr>
              <w:t>Osoba oprávněná jednat: Stanislav Šmejkal</w:t>
            </w:r>
          </w:p>
          <w:p>
            <w:pPr>
              <w:pStyle w:val="Normal"/>
              <w:keepNext w:val="false"/>
              <w:pageBreakBefore w:val="false"/>
              <w:widowControl w:val="false"/>
              <w:tabs>
                <w:tab w:val="clear" w:pos="720"/>
                <w:tab w:val="left" w:pos="2265" w:leader="none"/>
              </w:tabs>
              <w:suppressAutoHyphens w:val="false"/>
              <w:spacing w:lineRule="auto" w:line="240"/>
              <w:rPr>
                <w:rFonts w:ascii="Times New Roman" w:hAnsi="Times New Roman" w:cs="Tahoma"/>
                <w:sz w:val="22"/>
                <w:szCs w:val="22"/>
              </w:rPr>
            </w:pPr>
            <w:r>
              <w:rPr>
                <w:rFonts w:cs="Tahoma" w:ascii="Times New Roman" w:hAnsi="Times New Roman"/>
                <w:sz w:val="22"/>
                <w:szCs w:val="22"/>
              </w:rPr>
              <w:t>T</w:t>
            </w:r>
            <w:r>
              <w:rPr>
                <w:rFonts w:cs="Tahoma" w:ascii="Times New Roman" w:hAnsi="Times New Roman"/>
                <w:sz w:val="22"/>
                <w:szCs w:val="22"/>
              </w:rPr>
              <w:t xml:space="preserve">el. kontakt, </w:t>
            </w:r>
            <w:r>
              <w:rPr>
                <w:rFonts w:cs="Tahoma" w:ascii="Times New Roman" w:hAnsi="Times New Roman"/>
                <w:sz w:val="22"/>
                <w:szCs w:val="22"/>
              </w:rPr>
              <w:t>e-mail</w:t>
            </w:r>
            <w:r>
              <w:rPr>
                <w:rFonts w:cs="Tahoma" w:ascii="Times New Roman" w:hAnsi="Times New Roman"/>
                <w:sz w:val="22"/>
                <w:szCs w:val="22"/>
              </w:rPr>
              <w:t>:</w:t>
              <w:tab/>
              <w:t>+420 724 189 517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265" w:leader="none"/>
              </w:tabs>
              <w:suppressAutoHyphens w:val="false"/>
              <w:spacing w:lineRule="auto" w:line="240"/>
              <w:rPr>
                <w:rFonts w:ascii="Times New Roman" w:hAnsi="Times New Roman" w:cs="Tahoma"/>
                <w:sz w:val="22"/>
                <w:szCs w:val="22"/>
              </w:rPr>
            </w:pPr>
            <w:r>
              <w:rPr>
                <w:rFonts w:cs="Tahoma" w:ascii="Times New Roman" w:hAnsi="Times New Roman"/>
                <w:sz w:val="22"/>
                <w:szCs w:val="22"/>
              </w:rPr>
              <w:t>E-mail:</w:t>
              <w:tab/>
              <w:t>info@obecbelec.cz</w:t>
            </w:r>
          </w:p>
          <w:p>
            <w:pPr>
              <w:pStyle w:val="Normal"/>
              <w:keepNext w:val="false"/>
              <w:widowControl w:val="false"/>
              <w:tabs>
                <w:tab w:val="clear" w:pos="720"/>
                <w:tab w:val="left" w:pos="2265" w:leader="none"/>
              </w:tabs>
              <w:suppressAutoHyphens w:val="false"/>
              <w:spacing w:lineRule="auto" w:line="240"/>
              <w:rPr>
                <w:rFonts w:ascii="Times New Roman" w:hAnsi="Times New Roman" w:cs="Tahoma"/>
                <w:sz w:val="22"/>
                <w:szCs w:val="22"/>
              </w:rPr>
            </w:pPr>
            <w:r>
              <w:rPr>
                <w:rFonts w:cs="Tahoma" w:ascii="Times New Roman" w:hAnsi="Times New Roman"/>
                <w:sz w:val="22"/>
                <w:szCs w:val="22"/>
              </w:rPr>
              <w:t>B</w:t>
            </w:r>
            <w:r>
              <w:rPr>
                <w:rFonts w:cs="Tahoma" w:ascii="Times New Roman" w:hAnsi="Times New Roman"/>
                <w:sz w:val="22"/>
                <w:szCs w:val="22"/>
              </w:rPr>
              <w:t>ankovní spojení:</w:t>
              <w:tab/>
              <w:t>24528301/0100</w:t>
            </w:r>
          </w:p>
        </w:tc>
      </w:tr>
    </w:tbl>
    <w:p>
      <w:pPr>
        <w:pStyle w:val="Normal"/>
        <w:keepNext w:val="false"/>
        <w:pageBreakBefore w:val="false"/>
        <w:widowControl w:val="false"/>
        <w:tabs>
          <w:tab w:val="clear" w:pos="720"/>
          <w:tab w:val="left" w:pos="1560" w:leader="none"/>
        </w:tabs>
        <w:suppressAutoHyphens w:val="false"/>
        <w:spacing w:lineRule="auto" w:line="240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bCs/>
          <w:i w:val="false"/>
          <w:i w:val="false"/>
          <w:iCs w:val="false"/>
          <w:sz w:val="22"/>
          <w:szCs w:val="22"/>
          <w:u w:val="none"/>
        </w:rPr>
      </w:pPr>
      <w:r>
        <w:rPr>
          <w:rFonts w:cs="Tahoma" w:ascii="Times New Roman" w:hAnsi="Times New Roman"/>
          <w:b/>
          <w:bCs/>
          <w:i w:val="false"/>
          <w:iCs w:val="false"/>
          <w:sz w:val="22"/>
          <w:szCs w:val="22"/>
          <w:u w:val="none"/>
        </w:rPr>
        <w:t>B. PŘEDMĚT A CENA PLNĚNÍ: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Justified"/>
        <w:keepNext w:val="false"/>
        <w:pageBreakBefore w:val="false"/>
        <w:widowControl w:val="false"/>
        <w:tabs>
          <w:tab w:val="clear" w:pos="720"/>
        </w:tabs>
        <w:suppressAutoHyphens w:val="false"/>
        <w:bidi w:val="0"/>
        <w:spacing w:lineRule="auto" w:line="240" w:before="0" w:after="0"/>
        <w:ind w:left="425" w:right="0" w:hanging="425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1.</w:t>
        <w:tab/>
      </w:r>
      <w:r>
        <w:rPr>
          <w:rFonts w:ascii="Times New Roman" w:hAnsi="Times New Roman"/>
          <w:i w:val="false"/>
          <w:iCs w:val="false"/>
          <w:sz w:val="22"/>
          <w:szCs w:val="22"/>
        </w:rPr>
        <w:t>Předmět plnění veřejné zakázky j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sou stavební práce stavby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„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Stavební úpravy a nástavba objektu hasičské zbrojnice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“ 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d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le 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projektu pro provedení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 stavby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, kterou zpracoval Ing. Ladislav Mládek, IČO 12905283, Převrátilská 330, 390 01 Tábor.</w:t>
      </w:r>
    </w:p>
    <w:p>
      <w:pPr>
        <w:pStyle w:val="NormalJustified"/>
        <w:widowControl w:val="false"/>
        <w:tabs>
          <w:tab w:val="clear" w:pos="720"/>
        </w:tabs>
        <w:suppressAutoHyphens w:val="false"/>
        <w:bidi w:val="0"/>
        <w:spacing w:lineRule="auto" w:line="240" w:before="0" w:after="0"/>
        <w:ind w:left="425" w:right="0" w:hanging="425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2.</w:t>
        <w:tab/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Zhotovitel prohlašuje, že se s obsahem výše uveden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é dokumentace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 seznámil a že mu byl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a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 pro realizaci díla objednatelem poskytnut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a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, zároveň dodavatel prohlašuje, že poskytnut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á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 dokumentace pro výběrové řízení, bylo dostatečným podkladem pro ocenění prací. Neobsahovalo nejasnosti nebo závady, které by mohli zapříčinit budoucí vícepráce. Zhotovitel se seznámil s volně přístupným místem realizace akce a v navržené ceně má zahrnuty práce i finanční prostředky, které jsou nutné pro provedení stavby, i když nebyly přesně specifikovány ve výkazu či projektové dokumentaci v zadávacím řízení. 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Vzhledem k charakteru stavby budou dodána sekční vrata od firmy Efaflex s integrovanými dveřmi pro chodce. Zásadní podmínkou realizace je vzhledem ke stále činnosti jednotky sboru dobrovolných hasičů kompletní dokončení garáže č. 1 a přilehlého WC včetně dokončení všech povrchů, nátěrů a dodání a kompletní instalace vrat a příslušné elektroinstalace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  <w:u w:val="single"/>
        </w:rPr>
        <w:t>do 8 týdnů ode dne předání a převzetí staveniště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.</w:t>
      </w:r>
    </w:p>
    <w:p>
      <w:pPr>
        <w:pStyle w:val="NormalJustified"/>
        <w:widowControl w:val="false"/>
        <w:tabs>
          <w:tab w:val="clear" w:pos="720"/>
        </w:tabs>
        <w:suppressAutoHyphens w:val="false"/>
        <w:bidi w:val="0"/>
        <w:spacing w:lineRule="auto" w:line="240" w:before="0" w:after="0"/>
        <w:ind w:left="425" w:right="0" w:hanging="425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3.</w:t>
        <w:tab/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Zhotovitel se tímto zavazuje, že pro objednatele na své náklady a na své nebezpečí provede dílo </w:t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dle čl. 1 </w:t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>způsobem a v rozsahu stanoveným v této smlouvě o dílo a objednatel se tímto zavazuje dokončené dílo převzít a zaplatit zhotoviteli za jeho zhotovení cenu ve výši a způsobem stanoveným v této smlouvě o dílo.</w:t>
      </w:r>
    </w:p>
    <w:p>
      <w:pPr>
        <w:pStyle w:val="NormalJustified"/>
        <w:widowControl w:val="false"/>
        <w:tabs>
          <w:tab w:val="clear" w:pos="720"/>
        </w:tabs>
        <w:suppressAutoHyphens w:val="false"/>
        <w:bidi w:val="0"/>
        <w:spacing w:lineRule="auto" w:line="240" w:before="0" w:after="0"/>
        <w:ind w:left="425" w:right="0" w:hanging="425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>4.</w:t>
        <w:tab/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>Cena díla je stanovena v souladu s obecně závaznými předpisy a je oběma smluvními stranami dohodnuta ve výši:</w:t>
      </w:r>
    </w:p>
    <w:tbl>
      <w:tblPr>
        <w:tblW w:w="10346" w:type="dxa"/>
        <w:jc w:val="righ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33"/>
        <w:gridCol w:w="1905"/>
        <w:gridCol w:w="1361"/>
        <w:gridCol w:w="1634"/>
        <w:gridCol w:w="1905"/>
        <w:gridCol w:w="1908"/>
      </w:tblGrid>
      <w:tr>
        <w:trPr/>
        <w:tc>
          <w:tcPr>
            <w:tcW w:w="1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Cena bez DPH</w:t>
            </w:r>
          </w:p>
          <w:p>
            <w:pPr>
              <w:pStyle w:val="Obsahtabulky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v Kč:</w:t>
            </w:r>
          </w:p>
        </w:tc>
        <w:tc>
          <w:tcPr>
            <w:tcW w:w="1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DPH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21%</w:t>
            </w:r>
          </w:p>
          <w:p>
            <w:pPr>
              <w:pStyle w:val="Obsahtabulky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v Kč:</w:t>
            </w: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</w:r>
          </w:p>
        </w:tc>
        <w:tc>
          <w:tcPr>
            <w:tcW w:w="1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Cena včetně DPH</w:t>
            </w:r>
          </w:p>
          <w:p>
            <w:pPr>
              <w:pStyle w:val="Obsahtabulky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v Kč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: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</w:r>
          </w:p>
        </w:tc>
      </w:tr>
    </w:tbl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bidi w:val="0"/>
        <w:spacing w:lineRule="auto" w:line="240"/>
        <w:ind w:left="425" w:right="0" w:hanging="425"/>
        <w:jc w:val="both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22"/>
          <w:szCs w:val="22"/>
          <w:lang w:eastAsia="cs-CZ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22"/>
          <w:szCs w:val="22"/>
          <w:lang w:eastAsia="cs-CZ"/>
        </w:rPr>
        <w:t>5.</w:t>
      </w:r>
      <w:r>
        <w:rPr>
          <w:rFonts w:cs="Tahoma" w:ascii="Times New Roman" w:hAnsi="Times New Roman"/>
          <w:b w:val="false"/>
          <w:bCs w:val="false"/>
          <w:i w:val="false"/>
          <w:iCs w:val="false"/>
          <w:sz w:val="22"/>
          <w:szCs w:val="22"/>
          <w:lang w:eastAsia="cs-CZ"/>
        </w:rPr>
        <w:tab/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  <w:lang w:eastAsia="cs-CZ"/>
        </w:rPr>
        <w:t>Tato cena je stanovena jako nejvýše přípustná obsahující veškeré náklady nutné k provedení díla, tedy i takové, které nejsou uvedeny výslovně v jednotlivých položkách výkazu výměr, ale jsou nutné k provedení díla a uchazeč je povinen takové náklady s ohledem na svoji odbornost předpokládat. Všechny vícepráce, které by vyplynuli z provádění prací, budou finančně uhrazeny</w:t>
      </w:r>
      <w:r>
        <w:rPr>
          <w:rFonts w:cs="Arial" w:ascii="Times New Roman" w:hAnsi="Times New Roman"/>
          <w:b w:val="false"/>
          <w:bCs w:val="false"/>
          <w:i w:val="false"/>
          <w:iCs w:val="false"/>
          <w:color w:val="auto"/>
          <w:sz w:val="22"/>
          <w:szCs w:val="22"/>
          <w:lang w:eastAsia="cs-CZ"/>
        </w:rPr>
        <w:t xml:space="preserve"> zhotovitelem. </w:t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  <w:lang w:eastAsia="cs-CZ"/>
        </w:rPr>
        <w:t xml:space="preserve">Jejich ocenění musí vzhledem ke své odbornosti zhotovitel vyčíslit již v navržené ceně z výběrového řízení. Objednatel má cenu pevně stanovenou a nepřekročitelnou z výběrového řízení. </w:t>
      </w:r>
      <w:r>
        <w:rPr>
          <w:rFonts w:cs="Arial" w:ascii="Times New Roman" w:hAnsi="Times New Roman"/>
          <w:b w:val="false"/>
          <w:bCs w:val="false"/>
          <w:i w:val="false"/>
          <w:iCs w:val="false"/>
          <w:color w:val="auto"/>
          <w:sz w:val="22"/>
          <w:szCs w:val="22"/>
          <w:lang w:eastAsia="cs-CZ"/>
        </w:rPr>
        <w:t xml:space="preserve">Zhotovitel </w:t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  <w:lang w:eastAsia="cs-CZ"/>
        </w:rPr>
        <w:t>je seznámen, že na sebe bere všechny finanční závazky za možné, nepředvídatelné okolnosti výstavby.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  <w:lang w:eastAsia="cs-CZ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  <w:lang w:eastAsia="cs-CZ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b/>
          <w:bCs/>
          <w:i w:val="false"/>
          <w:iCs w:val="false"/>
          <w:sz w:val="22"/>
          <w:szCs w:val="22"/>
        </w:rPr>
        <w:t xml:space="preserve">C. </w:t>
      </w:r>
      <w:r>
        <w:rPr>
          <w:rFonts w:cs="Tahoma" w:ascii="Times New Roman" w:hAnsi="Times New Roman"/>
          <w:b/>
          <w:bCs/>
          <w:i w:val="false"/>
          <w:iCs w:val="false"/>
          <w:sz w:val="22"/>
          <w:szCs w:val="22"/>
        </w:rPr>
        <w:t>TERMÍN PLNĚNÍ DÍLA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1. </w:t>
        <w:tab/>
        <w:t xml:space="preserve">Termín zahájení po podpisu smlouvy, termín dokončení 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27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. 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prosince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 20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2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1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 (včetně předání a fakturace).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  <w:lang w:eastAsia="cs-CZ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  <w:lang w:eastAsia="cs-CZ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b/>
          <w:bCs/>
          <w:i w:val="false"/>
          <w:iCs w:val="false"/>
          <w:sz w:val="22"/>
          <w:szCs w:val="22"/>
        </w:rPr>
        <w:t>D</w:t>
      </w:r>
      <w:r>
        <w:rPr>
          <w:rFonts w:cs="Tahoma" w:ascii="Times New Roman" w:hAnsi="Times New Roman"/>
          <w:b/>
          <w:bCs/>
          <w:i w:val="false"/>
          <w:iCs w:val="false"/>
          <w:sz w:val="22"/>
          <w:szCs w:val="22"/>
        </w:rPr>
        <w:t>. PLATEBNÍ PODMÍNKY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1. </w:t>
        <w:tab/>
        <w:t>Platby budou probíhat výhradně v Kč a rovněž veškeré cenové údaje budou v této měně.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>2.</w:t>
      </w:r>
      <w:r>
        <w:rPr>
          <w:rFonts w:cs="Tahoma" w:ascii="Times New Roman" w:hAnsi="Times New Roman"/>
          <w:b/>
          <w:i w:val="false"/>
          <w:iCs w:val="false"/>
          <w:sz w:val="22"/>
          <w:szCs w:val="22"/>
        </w:rPr>
        <w:t xml:space="preserve"> </w:t>
        <w:tab/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Den zaplacení kupní ceny, respektive jednotlivé splátky je den jejího připsání na účet 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zhotovitele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>3.</w:t>
        <w:tab/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Objednatel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 nebude poskytovat zálohy.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>4.</w:t>
        <w:tab/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Zhotovitel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 vystaví fakturu až poté, co bud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e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 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objednateli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 dodán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y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 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kompletní stavební práce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>5.</w:t>
        <w:tab/>
        <w:t>Dojde-li v mezidobí ke změně daňových, finančních nebo jiných právních předpisů, podle kterých byla smlouva uz</w:t>
      </w:r>
      <w:r>
        <w:rPr>
          <w:rFonts w:cs="Tahoma" w:ascii="Times New Roman" w:hAnsi="Times New Roman"/>
          <w:sz w:val="22"/>
          <w:szCs w:val="22"/>
        </w:rPr>
        <w:t xml:space="preserve">avřena, je </w:t>
      </w:r>
      <w:r>
        <w:rPr>
          <w:rFonts w:cs="Tahoma" w:ascii="Times New Roman" w:hAnsi="Times New Roman"/>
          <w:sz w:val="22"/>
          <w:szCs w:val="22"/>
        </w:rPr>
        <w:t>zhotovitel</w:t>
      </w:r>
      <w:r>
        <w:rPr>
          <w:rFonts w:cs="Tahoma" w:ascii="Times New Roman" w:hAnsi="Times New Roman"/>
          <w:sz w:val="22"/>
          <w:szCs w:val="22"/>
        </w:rPr>
        <w:t xml:space="preserve"> oprávněn promítnout tuto změnu do ceny díla (tím je myšlena například změna sazby DPH).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6</w:t>
      </w:r>
      <w:r>
        <w:rPr>
          <w:rFonts w:cs="Tahoma" w:ascii="Times New Roman" w:hAnsi="Times New Roman"/>
          <w:sz w:val="22"/>
          <w:szCs w:val="22"/>
        </w:rPr>
        <w:t>.</w:t>
        <w:tab/>
        <w:t>Kupní cena bud</w:t>
      </w:r>
      <w:r>
        <w:rPr>
          <w:rFonts w:cs="Tahoma" w:ascii="Times New Roman" w:hAnsi="Times New Roman"/>
          <w:sz w:val="22"/>
          <w:szCs w:val="22"/>
        </w:rPr>
        <w:t>e</w:t>
      </w:r>
      <w:r>
        <w:rPr>
          <w:rFonts w:cs="Tahoma" w:ascii="Times New Roman" w:hAnsi="Times New Roman"/>
          <w:sz w:val="22"/>
          <w:szCs w:val="22"/>
        </w:rPr>
        <w:t xml:space="preserve"> fakturován</w:t>
      </w:r>
      <w:r>
        <w:rPr>
          <w:rFonts w:cs="Tahoma" w:ascii="Times New Roman" w:hAnsi="Times New Roman"/>
          <w:sz w:val="22"/>
          <w:szCs w:val="22"/>
        </w:rPr>
        <w:t>a</w:t>
      </w:r>
      <w:r>
        <w:rPr>
          <w:rFonts w:cs="Tahoma" w:ascii="Times New Roman" w:hAnsi="Times New Roman"/>
          <w:sz w:val="22"/>
          <w:szCs w:val="22"/>
        </w:rPr>
        <w:t>. Splatnost faktury bude vyznačena na daňovém dokladu.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7</w:t>
      </w:r>
      <w:r>
        <w:rPr>
          <w:rFonts w:cs="Tahoma" w:ascii="Times New Roman" w:hAnsi="Times New Roman"/>
          <w:sz w:val="22"/>
          <w:szCs w:val="22"/>
        </w:rPr>
        <w:t>.</w:t>
        <w:tab/>
        <w:t>Splatnost faktur je stanovena na 30 dní ode dne doručení.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8</w:t>
      </w:r>
      <w:r>
        <w:rPr>
          <w:rFonts w:cs="Tahoma" w:ascii="Times New Roman" w:hAnsi="Times New Roman"/>
          <w:sz w:val="22"/>
          <w:szCs w:val="22"/>
        </w:rPr>
        <w:t>.</w:t>
        <w:tab/>
        <w:t xml:space="preserve">Daňový doklad bude vystaven tak, aby splňoval všechny náležitosti daňového dokladu podle zákona o </w:t>
      </w:r>
      <w:r>
        <w:rPr>
          <w:rFonts w:cs="Tahoma" w:ascii="Times New Roman" w:hAnsi="Times New Roman"/>
          <w:sz w:val="22"/>
          <w:szCs w:val="22"/>
        </w:rPr>
        <w:t>DPH</w:t>
      </w:r>
      <w:r>
        <w:rPr>
          <w:rFonts w:cs="Tahoma" w:ascii="Times New Roman" w:hAnsi="Times New Roman"/>
          <w:sz w:val="22"/>
          <w:szCs w:val="22"/>
        </w:rPr>
        <w:t>.</w:t>
      </w:r>
    </w:p>
    <w:p>
      <w:pPr>
        <w:pStyle w:val="Normal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9.</w:t>
        <w:tab/>
        <w:t>Objednatel nepoužívá stavbu pro ekonomickou činnost, nebude aplikován režim přenesené daňové povinnosti, faktura bude vystavena na částku včetně DPH.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keepNext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  <w:t>E</w:t>
      </w:r>
      <w:r>
        <w:rPr>
          <w:rFonts w:cs="Tahoma" w:ascii="Times New Roman" w:hAnsi="Times New Roman"/>
          <w:b/>
          <w:sz w:val="22"/>
          <w:szCs w:val="22"/>
        </w:rPr>
        <w:t xml:space="preserve">. </w:t>
      </w:r>
      <w:r>
        <w:rPr>
          <w:rFonts w:cs="Tahoma" w:ascii="Times New Roman" w:hAnsi="Times New Roman"/>
          <w:b/>
          <w:sz w:val="22"/>
          <w:szCs w:val="22"/>
        </w:rPr>
        <w:t>PROVÁDĚNÍ DÍLA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1.</w:t>
        <w:tab/>
        <w:t>Zhotovitel je povinen provést dílo na svůj náklad a na své nebezpečí ve smluvně dohodnutém termínu.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2.</w:t>
        <w:tab/>
      </w:r>
      <w:r>
        <w:rPr>
          <w:rFonts w:cs="Tahoma" w:ascii="Times New Roman" w:hAnsi="Times New Roman"/>
          <w:sz w:val="22"/>
          <w:szCs w:val="22"/>
        </w:rPr>
        <w:t>Objednatel nebo jím písemně pověřený zástupce je oprávněn kontrolovat provádění díla. Zjistí-li objednatel, že zhotovitel provádí dílo v rozporu se svými povinnostmi, je oprávněn dožadovat se toho, aby zhotovitel odstranil vady vzniklé vadným prováděním a dílo prováděl řádným způsobem. Jestliže tak zhotovitel neučiní ani v přiměřené lhůtě mu k tomu objednatelem poskytnuté a jeho postup by nepochybně dále vedl k porušení smlouvy, je objednatel oprávněn od smlouvy odstoupit.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3.</w:t>
        <w:tab/>
      </w:r>
      <w:r>
        <w:rPr>
          <w:rFonts w:cs="Tahoma" w:ascii="Times New Roman" w:hAnsi="Times New Roman"/>
          <w:sz w:val="22"/>
          <w:szCs w:val="22"/>
        </w:rPr>
        <w:t>Zhotovitel je povinen písemně oznámit nejpozději 5 dnů předem, kdy bude dílo připraveno k  předání. Objednatel je pak povinen nejpozději do tří dnů od termínu stanoveného zhotovitelem, avšak bez zbytečných odkladů, zahájit přejímací řízení a řádně v něm pokračovat.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4.</w:t>
        <w:tab/>
      </w:r>
      <w:r>
        <w:rPr>
          <w:rFonts w:cs="Tahoma" w:ascii="Times New Roman" w:hAnsi="Times New Roman"/>
          <w:sz w:val="22"/>
          <w:szCs w:val="22"/>
        </w:rPr>
        <w:t>Zhotovitel je povinen připravit a doložit u přejímacího řízení všechny předepsané doklady dle stavebního zákona č. 183/2006 Sb., v platném znění. Bez těchto dokladů nelze považovat dílo za dokončené a schopné předání.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5.</w:t>
        <w:tab/>
      </w:r>
      <w:r>
        <w:rPr>
          <w:rFonts w:cs="Tahoma" w:ascii="Times New Roman" w:hAnsi="Times New Roman"/>
          <w:sz w:val="22"/>
          <w:szCs w:val="22"/>
        </w:rPr>
        <w:t>O průběhu přejímacího řízení pořídí zhotovitel Protokol o předání a převzetí díla, do kterého mimo jiné objednatel uvede i soupis vad a nedodělků, pokud je dílo obsahuje, s termínem jejich odstranění či dokončení. V tomto protokolu objednatel výslovně uvede, zda dílo přejímá, či nikoli. Pokud objednatel odmítne dílo převzít, je povinen zde uvést důvody, proč tak neučinil.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6.</w:t>
        <w:tab/>
      </w:r>
      <w:r>
        <w:rPr>
          <w:rFonts w:cs="Tahoma" w:ascii="Times New Roman" w:hAnsi="Times New Roman"/>
          <w:sz w:val="22"/>
          <w:szCs w:val="22"/>
        </w:rPr>
        <w:t>Dílo je považováno za ukončené po dokončení všech sjednaných prací. Pokud jsou v této smlouvě použity termíny ukončení díla nebo předání díla, rozumí se tím den, ve kterém dojde k oboustrannému podpisu Protokolu o předání a převzetí díla.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7.</w:t>
        <w:tab/>
      </w:r>
      <w:r>
        <w:rPr>
          <w:rFonts w:cs="Tahoma" w:ascii="Times New Roman" w:hAnsi="Times New Roman"/>
          <w:sz w:val="22"/>
          <w:szCs w:val="22"/>
        </w:rPr>
        <w:t>Objednatel přebírá dílo pouze bez vad a nedodělků, Při zjištění vada či nedodělků je zhotovitel povinen odstranit tyto vady v termínu uvedeném do stavebního deníku. Zhotovitel předloží veškeré doklady pro řádné u</w:t>
      </w:r>
      <w:r>
        <w:rPr>
          <w:rFonts w:cs="Tahoma" w:ascii="Times New Roman" w:hAnsi="Times New Roman"/>
          <w:sz w:val="22"/>
          <w:szCs w:val="22"/>
        </w:rPr>
        <w:t xml:space="preserve">žívání </w:t>
      </w:r>
      <w:r>
        <w:rPr>
          <w:rFonts w:cs="Tahoma" w:ascii="Times New Roman" w:hAnsi="Times New Roman"/>
          <w:sz w:val="22"/>
          <w:szCs w:val="22"/>
        </w:rPr>
        <w:t>stavby.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705" w:right="0" w:hanging="705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  <w:t>F</w:t>
      </w:r>
      <w:r>
        <w:rPr>
          <w:rFonts w:cs="Tahoma" w:ascii="Times New Roman" w:hAnsi="Times New Roman"/>
          <w:b/>
          <w:sz w:val="22"/>
          <w:szCs w:val="22"/>
        </w:rPr>
        <w:t>. ZÁRUKA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705" w:right="0" w:hanging="705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1.</w:t>
        <w:tab/>
      </w:r>
      <w:r>
        <w:rPr>
          <w:rFonts w:cs="Tahoma" w:ascii="Times New Roman" w:hAnsi="Times New Roman"/>
          <w:sz w:val="22"/>
          <w:szCs w:val="22"/>
          <w:shd w:fill="auto" w:val="clear"/>
        </w:rPr>
        <w:t xml:space="preserve">Záruční a pozáruční servis bude zhotovitel provádět po dobu záruky, tedy </w:t>
      </w:r>
      <w:r>
        <w:rPr>
          <w:rFonts w:cs="Tahoma" w:ascii="Times New Roman" w:hAnsi="Times New Roman"/>
          <w:sz w:val="22"/>
          <w:szCs w:val="22"/>
          <w:shd w:fill="auto" w:val="clear"/>
        </w:rPr>
        <w:t>60</w:t>
      </w:r>
      <w:r>
        <w:rPr>
          <w:rFonts w:cs="Tahoma" w:ascii="Times New Roman" w:hAnsi="Times New Roman"/>
          <w:sz w:val="22"/>
          <w:szCs w:val="22"/>
          <w:shd w:fill="auto" w:val="clear"/>
        </w:rPr>
        <w:t xml:space="preserve"> měsíců.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  <w:shd w:fill="auto" w:val="clear"/>
        </w:rPr>
        <w:t>2.</w:t>
        <w:tab/>
      </w:r>
      <w:r>
        <w:rPr>
          <w:rFonts w:cs="Tahoma" w:ascii="Times New Roman" w:hAnsi="Times New Roman"/>
          <w:sz w:val="22"/>
          <w:szCs w:val="22"/>
          <w:shd w:fill="auto" w:val="clear"/>
        </w:rPr>
        <w:t>Řádně reklamované vady díla budou odstraněny po jejich uznání v reklamačním řízení v </w:t>
      </w:r>
      <w:r>
        <w:rPr>
          <w:rFonts w:cs="Tahoma" w:ascii="Times New Roman" w:hAnsi="Times New Roman"/>
          <w:sz w:val="22"/>
          <w:szCs w:val="22"/>
          <w:shd w:fill="auto" w:val="clear"/>
        </w:rPr>
        <w:t>d</w:t>
      </w:r>
      <w:r>
        <w:rPr>
          <w:rFonts w:cs="Tahoma" w:ascii="Times New Roman" w:hAnsi="Times New Roman"/>
          <w:sz w:val="22"/>
          <w:szCs w:val="22"/>
          <w:shd w:fill="auto" w:val="clear"/>
        </w:rPr>
        <w:t>ohodnutém termínu.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  <w:shd w:fill="auto" w:val="clear"/>
        </w:rPr>
        <w:t>3.</w:t>
        <w:tab/>
      </w:r>
      <w:r>
        <w:rPr>
          <w:rFonts w:cs="Tahoma" w:ascii="Times New Roman" w:hAnsi="Times New Roman"/>
          <w:sz w:val="22"/>
          <w:szCs w:val="22"/>
          <w:shd w:fill="auto" w:val="clear"/>
        </w:rPr>
        <w:t>Odstranění vad bude provedeno zhotovitelem neprodleně po umožnění přístupu k těmto vadám.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  <w:shd w:fill="auto" w:val="clear"/>
        </w:rPr>
        <w:t>4.</w:t>
        <w:tab/>
      </w:r>
      <w:r>
        <w:rPr>
          <w:rFonts w:cs="Tahoma" w:ascii="Times New Roman" w:hAnsi="Times New Roman"/>
          <w:sz w:val="22"/>
          <w:szCs w:val="22"/>
          <w:shd w:fill="auto" w:val="clear"/>
        </w:rPr>
        <w:t>Oznámení o vadách musí být písemně doručeno zhotoviteli bez zbytečného odkladu a musí obsahovat popis vady.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  <w:shd w:fill="auto" w:val="clear"/>
        </w:rPr>
        <w:t>5.</w:t>
        <w:tab/>
      </w:r>
      <w:r>
        <w:rPr>
          <w:rFonts w:cs="Tahoma" w:ascii="Times New Roman" w:hAnsi="Times New Roman"/>
          <w:sz w:val="22"/>
          <w:szCs w:val="22"/>
          <w:shd w:fill="auto" w:val="clear"/>
        </w:rPr>
        <w:t>Objednatel uplatní reklamaci vady, spolu s jejím popisem, písemně na adresu zhotovitele. Zhotovitel do 3 pracovních dnů od přijetí reklamace objednateli oznámí zda reklamovanou vadu uznává nebo sdělí důvody jejího odmítnutí. K odstranění objednatelem řádně oznámené a zhotovitelem uznané vady nastoupí zhotovitel do 5 pracovních dnů. Termín pro odstranění vady bude sjednán zástupci smluvních stran v závislosti na charakteru vady.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  <w:shd w:fill="auto" w:val="clear"/>
        </w:rPr>
        <w:t>6.</w:t>
        <w:tab/>
      </w:r>
      <w:r>
        <w:rPr>
          <w:rFonts w:cs="Tahoma" w:ascii="Times New Roman" w:hAnsi="Times New Roman"/>
          <w:sz w:val="22"/>
          <w:szCs w:val="22"/>
          <w:shd w:fill="auto" w:val="clear"/>
        </w:rPr>
        <w:t>V případě, že zhotovitel neodstraní vady díla v dohodnutých termínech, má objednatel právo provést odstranění vad díla sám, nebo prostřednictvím třetí osoby na účet zhotovitele.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  <w:t>G. SANKČNÍ UJEDNÁNÍ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</w:rPr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1.</w:t>
        <w:tab/>
      </w:r>
      <w:r>
        <w:rPr>
          <w:rFonts w:cs="Tahoma" w:ascii="Times New Roman" w:hAnsi="Times New Roman"/>
          <w:sz w:val="22"/>
          <w:szCs w:val="22"/>
        </w:rPr>
        <w:t>Zhotovitel</w:t>
      </w:r>
      <w:r>
        <w:rPr>
          <w:rFonts w:cs="Tahoma" w:ascii="Times New Roman" w:hAnsi="Times New Roman"/>
          <w:sz w:val="22"/>
          <w:szCs w:val="22"/>
        </w:rPr>
        <w:t xml:space="preserve"> má právo od smlouvy odstoupit, pokud </w:t>
      </w:r>
      <w:r>
        <w:rPr>
          <w:rFonts w:cs="Tahoma" w:ascii="Times New Roman" w:hAnsi="Times New Roman"/>
          <w:sz w:val="22"/>
          <w:szCs w:val="22"/>
        </w:rPr>
        <w:t>je objednatel</w:t>
      </w:r>
      <w:r>
        <w:rPr>
          <w:rFonts w:cs="Tahoma" w:ascii="Times New Roman" w:hAnsi="Times New Roman"/>
          <w:sz w:val="22"/>
          <w:szCs w:val="22"/>
        </w:rPr>
        <w:t xml:space="preserve"> v prodlení s placením po dobu delší než 30 dnů.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2.</w:t>
        <w:tab/>
        <w:t xml:space="preserve">V případě prodlení s úhradou faktury je </w:t>
      </w:r>
      <w:r>
        <w:rPr>
          <w:rFonts w:cs="Tahoma" w:ascii="Times New Roman" w:hAnsi="Times New Roman"/>
          <w:sz w:val="22"/>
          <w:szCs w:val="22"/>
        </w:rPr>
        <w:t>objednatel</w:t>
      </w:r>
      <w:r>
        <w:rPr>
          <w:rFonts w:cs="Tahoma" w:ascii="Times New Roman" w:hAnsi="Times New Roman"/>
          <w:sz w:val="22"/>
          <w:szCs w:val="22"/>
        </w:rPr>
        <w:t xml:space="preserve"> povinen zaplatit </w:t>
      </w:r>
      <w:r>
        <w:rPr>
          <w:rFonts w:cs="Tahoma" w:ascii="Times New Roman" w:hAnsi="Times New Roman"/>
          <w:sz w:val="22"/>
          <w:szCs w:val="22"/>
        </w:rPr>
        <w:t>zhotoviteli</w:t>
      </w:r>
      <w:r>
        <w:rPr>
          <w:rFonts w:cs="Tahoma" w:ascii="Times New Roman" w:hAnsi="Times New Roman"/>
          <w:sz w:val="22"/>
          <w:szCs w:val="22"/>
        </w:rPr>
        <w:t xml:space="preserve"> smluvní pokutu ve výši 0,1% z dlužné částky za každý den prodlení.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3.</w:t>
        <w:tab/>
        <w:t xml:space="preserve">V případě </w:t>
      </w:r>
      <w:r>
        <w:rPr>
          <w:rFonts w:cs="Tahoma" w:ascii="Times New Roman" w:hAnsi="Times New Roman"/>
          <w:sz w:val="22"/>
          <w:szCs w:val="22"/>
        </w:rPr>
        <w:t>prodlení s dokončením stavby</w:t>
      </w:r>
      <w:r>
        <w:rPr>
          <w:rFonts w:cs="Tahoma" w:ascii="Times New Roman" w:hAnsi="Times New Roman"/>
          <w:sz w:val="22"/>
          <w:szCs w:val="22"/>
        </w:rPr>
        <w:t xml:space="preserve"> je </w:t>
      </w:r>
      <w:r>
        <w:rPr>
          <w:rFonts w:cs="Tahoma" w:ascii="Times New Roman" w:hAnsi="Times New Roman"/>
          <w:sz w:val="22"/>
          <w:szCs w:val="22"/>
        </w:rPr>
        <w:t>zhotovitel</w:t>
      </w:r>
      <w:r>
        <w:rPr>
          <w:rFonts w:cs="Tahoma" w:ascii="Times New Roman" w:hAnsi="Times New Roman"/>
          <w:sz w:val="22"/>
          <w:szCs w:val="22"/>
        </w:rPr>
        <w:t xml:space="preserve"> povinen zaplatit </w:t>
      </w:r>
      <w:r>
        <w:rPr>
          <w:rFonts w:cs="Tahoma" w:ascii="Times New Roman" w:hAnsi="Times New Roman"/>
          <w:sz w:val="22"/>
          <w:szCs w:val="22"/>
        </w:rPr>
        <w:t>objednateli</w:t>
      </w:r>
      <w:r>
        <w:rPr>
          <w:rFonts w:cs="Tahoma" w:ascii="Times New Roman" w:hAnsi="Times New Roman"/>
          <w:sz w:val="22"/>
          <w:szCs w:val="22"/>
        </w:rPr>
        <w:t xml:space="preserve"> smluvní pokutu ve výši 0,1% z celkové částky za každý den kdy nebude kompletní </w:t>
      </w:r>
      <w:r>
        <w:rPr>
          <w:rFonts w:cs="Tahoma" w:ascii="Times New Roman" w:hAnsi="Times New Roman"/>
          <w:sz w:val="22"/>
          <w:szCs w:val="22"/>
        </w:rPr>
        <w:t>dílo dokončeno</w:t>
      </w:r>
      <w:r>
        <w:rPr>
          <w:rFonts w:cs="Tahoma" w:ascii="Times New Roman" w:hAnsi="Times New Roman"/>
          <w:sz w:val="22"/>
          <w:szCs w:val="22"/>
        </w:rPr>
        <w:t>.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  <w:t>H</w:t>
      </w:r>
      <w:r>
        <w:rPr>
          <w:rFonts w:cs="Tahoma" w:ascii="Times New Roman" w:hAnsi="Times New Roman"/>
          <w:b/>
          <w:sz w:val="22"/>
          <w:szCs w:val="22"/>
        </w:rPr>
        <w:t>. OBECNÁ A ZÁVĚREČNÁ USTANOVENÍ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</w:rPr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1</w:t>
      </w:r>
      <w:r>
        <w:rPr>
          <w:rFonts w:cs="Tahoma" w:ascii="Times New Roman" w:hAnsi="Times New Roman"/>
          <w:sz w:val="22"/>
          <w:szCs w:val="22"/>
        </w:rPr>
        <w:t>.</w:t>
        <w:tab/>
        <w:t>Změna a doplňky této smlouvy lze učinit pouze vzájemným odsouhlasením v písemné formě.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2</w:t>
      </w:r>
      <w:r>
        <w:rPr>
          <w:rFonts w:cs="Tahoma" w:ascii="Times New Roman" w:hAnsi="Times New Roman"/>
          <w:sz w:val="22"/>
          <w:szCs w:val="22"/>
        </w:rPr>
        <w:t>.</w:t>
        <w:tab/>
        <w:t xml:space="preserve">Práva a povinnosti smluvních stran touto smlouvou výslovně neupravená se řídí příslušnými ustanoveními dodatky občanského zákoníku, resp. jiných obecně závazných právních předpisů. 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3</w:t>
      </w:r>
      <w:r>
        <w:rPr>
          <w:rFonts w:cs="Tahoma" w:ascii="Times New Roman" w:hAnsi="Times New Roman"/>
          <w:sz w:val="22"/>
          <w:szCs w:val="22"/>
        </w:rPr>
        <w:t>.</w:t>
        <w:tab/>
        <w:t>Práva a povinnosti z této smlouvy vyplývající předcházejí i na právní zástupce smluvních stran.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</w:rPr>
      </w:r>
    </w:p>
    <w:p>
      <w:pPr>
        <w:pStyle w:val="Normal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/>
          <w:sz w:val="16"/>
          <w:szCs w:val="16"/>
        </w:rPr>
      </w:pPr>
      <w:r>
        <w:rPr>
          <w:rFonts w:cs="Tahoma" w:ascii="Times New Roman" w:hAnsi="Times New Roman"/>
          <w:sz w:val="22"/>
          <w:szCs w:val="22"/>
        </w:rPr>
        <w:t>Přílohy: K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rycí list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nabídky, 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soupis prací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</w:rPr>
      </w:r>
    </w:p>
    <w:tbl>
      <w:tblPr>
        <w:tblW w:w="10772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5"/>
        <w:gridCol w:w="5387"/>
      </w:tblGrid>
      <w:tr>
        <w:trPr/>
        <w:tc>
          <w:tcPr>
            <w:tcW w:w="5385" w:type="dxa"/>
            <w:tcBorders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 Bělči dne ........................................</w:t>
            </w:r>
          </w:p>
        </w:tc>
        <w:tc>
          <w:tcPr>
            <w:tcW w:w="5387" w:type="dxa"/>
            <w:tcBorders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 ........................................ dne ........................................</w:t>
            </w:r>
          </w:p>
        </w:tc>
      </w:tr>
      <w:tr>
        <w:trPr/>
        <w:tc>
          <w:tcPr>
            <w:tcW w:w="5385" w:type="dxa"/>
            <w:tcBorders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</w:t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objednatel</w:t>
            </w:r>
          </w:p>
        </w:tc>
        <w:tc>
          <w:tcPr>
            <w:tcW w:w="5387" w:type="dxa"/>
            <w:tcBorders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</w:t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zhotovitel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705" w:right="0" w:hanging="705"/>
        <w:jc w:val="both"/>
        <w:rPr>
          <w:rFonts w:ascii="Times New Roman" w:hAnsi="Times New Roman" w:cs="Arial"/>
          <w:i w:val="false"/>
          <w:i w:val="false"/>
          <w:iCs w:val="false"/>
          <w:sz w:val="4"/>
          <w:szCs w:val="4"/>
          <w:shd w:fill="auto" w:val="clear"/>
        </w:rPr>
      </w:pPr>
      <w:r>
        <w:rPr>
          <w:rFonts w:cs="Arial" w:ascii="Times New Roman" w:hAnsi="Times New Roman"/>
          <w:i w:val="false"/>
          <w:iCs w:val="false"/>
          <w:sz w:val="4"/>
          <w:szCs w:val="4"/>
          <w:shd w:fill="auto" w:val="clear"/>
        </w:rPr>
      </w:r>
    </w:p>
    <w:sectPr>
      <w:headerReference w:type="default" r:id="rId2"/>
      <w:type w:val="nextPage"/>
      <w:pgSz w:w="11906" w:h="16838"/>
      <w:pgMar w:left="567" w:right="567" w:header="567" w:top="1306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Narrow">
    <w:charset w:val="ee"/>
    <w:family w:val="swiss"/>
    <w:pitch w:val="variable"/>
  </w:font>
  <w:font w:name="Arial">
    <w:charset w:val="ee"/>
    <w:family w:val="swiss"/>
    <w:pitch w:val="variable"/>
  </w:font>
  <w:font w:name="Tahoma">
    <w:charset w:val="ee"/>
    <w:family w:val="swiss"/>
    <w:pitch w:val="variable"/>
  </w:font>
  <w:font w:name="Times New Roman">
    <w:charset w:val="ee"/>
    <w:family w:val="roman"/>
    <w:pitch w:val="variable"/>
  </w:font>
  <w:font w:name="Courier New">
    <w:charset w:val="ee"/>
    <w:family w:val="modern"/>
    <w:pitch w:val="default"/>
  </w:font>
  <w:font w:name="Wingdings">
    <w:charset w:val="02"/>
    <w:family w:val="auto"/>
    <w:pitch w:val="variable"/>
  </w:font>
  <w:font w:name="Symbol">
    <w:charset w:val="ee"/>
    <w:family w:val="roman"/>
    <w:pitch w:val="variable"/>
  </w:font>
  <w:font w:name="Calibri">
    <w:charset w:val="ee"/>
    <w:family w:val="swiss"/>
    <w:pitch w:val="variable"/>
  </w:font>
  <w:font w:name="JohnSans Text Pro">
    <w:altName w:val="Arial"/>
    <w:charset w:val="ee"/>
    <w:family w:val="modern"/>
    <w:pitch w:val="variable"/>
  </w:font>
  <w:font w:name="Avinion">
    <w:altName w:val="Arial"/>
    <w:charset w:val="ee"/>
    <w:family w:val="swiss"/>
    <w:pitch w:val="variable"/>
  </w:font>
  <w:font w:name="Calibri">
    <w:charset w:val="ee"/>
    <w:family w:val="roman"/>
    <w:pitch w:val="variable"/>
  </w:font>
  <w:font w:name="Verdana">
    <w:charset w:val="ee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0779" w:type="dxa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3345"/>
      <w:gridCol w:w="2268"/>
      <w:gridCol w:w="3175"/>
      <w:gridCol w:w="1991"/>
    </w:tblGrid>
    <w:tr>
      <w:trPr/>
      <w:tc>
        <w:tcPr>
          <w:tcW w:w="3345" w:type="dxa"/>
          <w:tcBorders/>
          <w:shd w:fill="DDDDDD" w:val="clear"/>
        </w:tcPr>
        <w:p>
          <w:pPr>
            <w:pStyle w:val="Obsahtabulky"/>
            <w:shd w:fill="DDDDDD" w:val="clear"/>
            <w:spacing w:lineRule="auto" w:line="240" w:before="0" w:after="0"/>
            <w:jc w:val="center"/>
            <w:rPr>
              <w:rFonts w:ascii="Verdana" w:hAnsi="Verdana"/>
              <w:b/>
              <w:b/>
              <w:bCs/>
              <w:sz w:val="48"/>
              <w:szCs w:val="48"/>
              <w:shd w:fill="DDDDDD" w:val="clear"/>
            </w:rPr>
          </w:pPr>
          <w:r>
            <w:rPr>
              <w:rFonts w:ascii="Verdana" w:hAnsi="Verdana"/>
              <w:b/>
              <w:bCs/>
              <w:sz w:val="48"/>
              <w:szCs w:val="48"/>
              <w:shd w:fill="DDDDDD" w:val="clear"/>
            </w:rPr>
            <w:t>Obec Běleč</w:t>
          </w:r>
        </w:p>
      </w:tc>
      <w:tc>
        <w:tcPr>
          <w:tcW w:w="2268" w:type="dxa"/>
          <w:tcBorders/>
          <w:shd w:fill="DDDDDD" w:val="clear"/>
        </w:tcPr>
        <w:p>
          <w:pPr>
            <w:pStyle w:val="Obsahtabulky"/>
            <w:shd w:fill="DDDDDD" w:val="clear"/>
            <w:spacing w:lineRule="auto" w:line="240" w:before="0" w:after="0"/>
            <w:jc w:val="center"/>
            <w:rPr>
              <w:rFonts w:ascii="Verdana" w:hAnsi="Verdana"/>
              <w:shd w:fill="DDDDDD" w:val="clear"/>
            </w:rPr>
          </w:pPr>
          <w:r>
            <w:rPr>
              <w:rFonts w:ascii="Verdana" w:hAnsi="Verdana"/>
              <w:shd w:fill="DDDDDD" w:val="clear"/>
            </w:rPr>
            <w:t>391 43 Běleč 22</w:t>
          </w:r>
        </w:p>
        <w:p>
          <w:pPr>
            <w:pStyle w:val="Obsahtabulky"/>
            <w:shd w:fill="DDDDDD" w:val="clear"/>
            <w:spacing w:lineRule="auto" w:line="240" w:before="0" w:after="0"/>
            <w:jc w:val="center"/>
            <w:rPr>
              <w:rFonts w:ascii="Verdana" w:hAnsi="Verdana"/>
              <w:shd w:fill="DDDDDD" w:val="clear"/>
            </w:rPr>
          </w:pPr>
          <w:r>
            <w:rPr>
              <w:rFonts w:ascii="Verdana" w:hAnsi="Verdana"/>
              <w:shd w:fill="DDDDDD" w:val="clear"/>
            </w:rPr>
            <w:t>IČ 00582506</w:t>
          </w:r>
        </w:p>
      </w:tc>
      <w:tc>
        <w:tcPr>
          <w:tcW w:w="3175" w:type="dxa"/>
          <w:tcBorders/>
          <w:shd w:fill="DDDDDD" w:val="clear"/>
        </w:tcPr>
        <w:p>
          <w:pPr>
            <w:pStyle w:val="Obsahtabulky"/>
            <w:shd w:fill="DDDDDD" w:val="clear"/>
            <w:spacing w:lineRule="auto" w:line="240" w:before="0" w:after="0"/>
            <w:jc w:val="center"/>
            <w:rPr>
              <w:rFonts w:ascii="Verdana" w:hAnsi="Verdana"/>
              <w:shd w:fill="DDDDDD" w:val="clear"/>
            </w:rPr>
          </w:pPr>
          <w:r>
            <w:rPr>
              <w:rFonts w:ascii="Verdana" w:hAnsi="Verdana"/>
              <w:shd w:fill="DDDDDD" w:val="clear"/>
            </w:rPr>
            <w:t>email info@obecbelec.cz</w:t>
          </w:r>
        </w:p>
        <w:p>
          <w:pPr>
            <w:pStyle w:val="Obsahtabulky"/>
            <w:shd w:fill="DDDDDD" w:val="clear"/>
            <w:spacing w:lineRule="auto" w:line="240" w:before="0" w:after="0"/>
            <w:jc w:val="center"/>
            <w:rPr>
              <w:rFonts w:ascii="Verdana" w:hAnsi="Verdana"/>
              <w:shd w:fill="DDDDDD" w:val="clear"/>
            </w:rPr>
          </w:pPr>
          <w:r>
            <w:rPr>
              <w:rFonts w:ascii="Verdana" w:hAnsi="Verdana"/>
              <w:shd w:fill="DDDDDD" w:val="clear"/>
            </w:rPr>
            <w:t>http://www.obecbelec.cz</w:t>
          </w:r>
        </w:p>
      </w:tc>
      <w:tc>
        <w:tcPr>
          <w:tcW w:w="1991" w:type="dxa"/>
          <w:tcBorders/>
          <w:shd w:fill="DDDDDD" w:val="clear"/>
        </w:tcPr>
        <w:p>
          <w:pPr>
            <w:pStyle w:val="Obsahtabulky"/>
            <w:shd w:fill="DDDDDD" w:val="clear"/>
            <w:spacing w:lineRule="auto" w:line="240" w:before="0" w:after="0"/>
            <w:jc w:val="center"/>
            <w:rPr>
              <w:rFonts w:ascii="Verdana" w:hAnsi="Verdana"/>
              <w:shd w:fill="DDDDDD" w:val="clear"/>
            </w:rPr>
          </w:pPr>
          <w:r>
            <w:rPr>
              <w:rFonts w:ascii="Verdana" w:hAnsi="Verdana"/>
              <w:shd w:fill="DDDDDD" w:val="clear"/>
            </w:rPr>
            <w:t>tel. 381214530</w:t>
          </w:r>
        </w:p>
        <w:p>
          <w:pPr>
            <w:pStyle w:val="Obsahtabulky"/>
            <w:shd w:fill="DDDDDD" w:val="clear"/>
            <w:spacing w:lineRule="auto" w:line="240" w:before="0" w:after="0"/>
            <w:jc w:val="center"/>
            <w:rPr/>
          </w:pPr>
          <w:r>
            <w:rPr>
              <w:rStyle w:val="Standardnpsmoodstavce"/>
              <w:rFonts w:ascii="Verdana" w:hAnsi="Verdana"/>
              <w:shd w:fill="DDDDDD" w:val="clear"/>
            </w:rPr>
            <w:t xml:space="preserve">IDDS </w:t>
          </w:r>
          <w:r>
            <w:rPr>
              <w:rStyle w:val="Standardnpsmoodstavce"/>
              <w:rFonts w:ascii="Verdana" w:hAnsi="Verdana"/>
              <w:b/>
              <w:bCs/>
              <w:shd w:fill="DDDDDD" w:val="clear"/>
            </w:rPr>
            <w:t>7wjajvb</w:t>
          </w:r>
        </w:p>
      </w:tc>
    </w:tr>
  </w:tbl>
  <w:p>
    <w:pPr>
      <w:pStyle w:val="Normal"/>
      <w:rPr>
        <w:sz w:val="4"/>
        <w:szCs w:val="4"/>
      </w:rPr>
    </w:pPr>
    <w:r>
      <w:rPr>
        <w:sz w:val="4"/>
        <w:szCs w:val="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dpis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pStyle w:val="Nadpis2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pStyle w:val="Nadpis3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pStyle w:val="Nadpis4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pStyle w:val="Nadpis5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pStyle w:val="Nadpis6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pStyle w:val="Nadpis7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pStyle w:val="Nadpis8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pStyle w:val="Nadpis9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702" w:hanging="567"/>
      </w:pPr>
      <w:rPr>
        <w:i w:val="false"/>
        <w:b/>
      </w:rPr>
    </w:lvl>
    <w:lvl w:ilvl="1">
      <w:start w:val="1"/>
      <w:numFmt w:val="decimal"/>
      <w:lvlText w:val="%1.%2."/>
      <w:lvlJc w:val="left"/>
      <w:pPr>
        <w:tabs>
          <w:tab w:val="num" w:pos="3658"/>
        </w:tabs>
        <w:ind w:left="3658" w:hanging="680"/>
      </w:pPr>
      <w:rPr/>
    </w:lvl>
    <w:lvl w:ilvl="2">
      <w:start w:val="1"/>
      <w:numFmt w:val="decimal"/>
      <w:lvlText w:val="%1.%2.%3."/>
      <w:lvlJc w:val="left"/>
      <w:pPr>
        <w:tabs>
          <w:tab w:val="num" w:pos="4111"/>
        </w:tabs>
        <w:ind w:left="4111" w:hanging="1134"/>
      </w:pPr>
      <w:rPr/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1418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368"/>
        </w:tabs>
        <w:ind w:left="1360" w:hanging="792"/>
      </w:pPr>
      <w:rPr>
        <w:i w:val="fals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67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63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1359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783" w:hanging="1440"/>
      </w:pPr>
      <w:rPr/>
    </w:lvl>
  </w:abstractNum>
  <w:abstractNum w:abstractNumId="3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5">
    <w:lvl w:ilvl="0">
      <w:start w:val="1"/>
      <w:numFmt w:val="bullet"/>
      <w:lvlText w:val="-"/>
      <w:lvlJc w:val="left"/>
      <w:pPr>
        <w:tabs>
          <w:tab w:val="num" w:pos="76"/>
        </w:tabs>
        <w:ind w:left="76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6"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  <w:rPr/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/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/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/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/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/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  <w:rPr/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/>
    </w:lvl>
    <w:lvl w:ilvl="8">
      <w:start w:val="1"/>
      <w:numFmt w:val="decimal"/>
      <w:lvlText w:val="%9."/>
      <w:lvlJc w:val="left"/>
      <w:pPr>
        <w:tabs>
          <w:tab w:val="num" w:pos="710"/>
        </w:tabs>
        <w:ind w:left="710" w:hanging="426"/>
      </w:pPr>
      <w:rPr/>
    </w:lvl>
  </w:abstractNum>
  <w:abstractNum w:abstractNumId="7"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/>
    </w:lvl>
    <w:lvl w:ilvl="1">
      <w:start w:val="9"/>
      <w:numFmt w:val="decimal"/>
      <w:lvlText w:val="%2."/>
      <w:lvlJc w:val="left"/>
      <w:pPr>
        <w:tabs>
          <w:tab w:val="num" w:pos="1155"/>
        </w:tabs>
        <w:ind w:left="1155" w:hanging="375"/>
      </w:pPr>
      <w:rPr/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/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/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Arial Narrow" w:hAnsi="Arial Narrow" w:eastAsia="Times New Roman" w:cs="Arial Narrow"/>
      <w:color w:val="auto"/>
      <w:sz w:val="24"/>
      <w:szCs w:val="24"/>
      <w:lang w:val="cs-CZ" w:bidi="ar-SA" w:eastAsia="zh-CN"/>
    </w:rPr>
  </w:style>
  <w:style w:type="paragraph" w:styleId="Nadpis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rFonts w:ascii="Arial Narrow" w:hAnsi="Arial Narrow" w:cs="Arial Narrow"/>
      <w:b/>
      <w:sz w:val="52"/>
      <w:szCs w:val="28"/>
      <w:u w:val="single"/>
    </w:rPr>
  </w:style>
  <w:style w:type="paragraph" w:styleId="Nadpis2">
    <w:name w:val="Heading 2"/>
    <w:basedOn w:val="Normal"/>
    <w:next w:val="Normal"/>
    <w:qFormat/>
    <w:pPr>
      <w:keepNext w:val="true"/>
      <w:numPr>
        <w:ilvl w:val="1"/>
        <w:numId w:val="1"/>
      </w:numPr>
      <w:autoSpaceDE w:val="false"/>
      <w:jc w:val="center"/>
      <w:outlineLvl w:val="1"/>
    </w:pPr>
    <w:rPr>
      <w:rFonts w:ascii="Arial Narrow" w:hAnsi="Arial Narrow" w:cs="Arial Narrow"/>
      <w:sz w:val="28"/>
    </w:rPr>
  </w:style>
  <w:style w:type="paragraph" w:styleId="Nadpis3">
    <w:name w:val="Heading 3"/>
    <w:basedOn w:val="Normal"/>
    <w:next w:val="Normal"/>
    <w:qFormat/>
    <w:pPr>
      <w:keepNext w:val="true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al"/>
    <w:next w:val="Normal"/>
    <w:qFormat/>
    <w:pPr>
      <w:keepNext w:val="true"/>
      <w:numPr>
        <w:ilvl w:val="3"/>
        <w:numId w:val="1"/>
      </w:numPr>
      <w:spacing w:lineRule="atLeast" w:line="240" w:before="120" w:after="0"/>
      <w:outlineLvl w:val="3"/>
    </w:pPr>
    <w:rPr>
      <w:rFonts w:ascii="Arial" w:hAnsi="Arial" w:cs="Arial"/>
      <w:b/>
      <w:sz w:val="28"/>
      <w:szCs w:val="20"/>
    </w:rPr>
  </w:style>
  <w:style w:type="paragraph" w:styleId="Nadpis5">
    <w:name w:val="Heading 5"/>
    <w:basedOn w:val="Normal"/>
    <w:next w:val="Normal"/>
    <w:qFormat/>
    <w:pPr>
      <w:keepNext w:val="true"/>
      <w:numPr>
        <w:ilvl w:val="4"/>
        <w:numId w:val="1"/>
      </w:numPr>
      <w:jc w:val="center"/>
      <w:outlineLvl w:val="4"/>
    </w:pPr>
    <w:rPr>
      <w:rFonts w:ascii="Arial Narrow" w:hAnsi="Arial Narrow" w:cs="Arial Narrow"/>
      <w:b/>
      <w:sz w:val="44"/>
      <w:szCs w:val="28"/>
      <w:u w:val="single"/>
    </w:rPr>
  </w:style>
  <w:style w:type="paragraph" w:styleId="Nadpis6">
    <w:name w:val="Heading 6"/>
    <w:basedOn w:val="Normal"/>
    <w:next w:val="Normal"/>
    <w:qFormat/>
    <w:pPr>
      <w:keepNext w:val="true"/>
      <w:numPr>
        <w:ilvl w:val="5"/>
        <w:numId w:val="1"/>
      </w:numPr>
      <w:spacing w:lineRule="atLeast" w:line="240" w:before="120" w:after="0"/>
      <w:outlineLvl w:val="5"/>
    </w:pPr>
    <w:rPr>
      <w:rFonts w:ascii="Arial" w:hAnsi="Arial" w:cs="Arial"/>
      <w:b/>
      <w:sz w:val="48"/>
      <w:szCs w:val="20"/>
    </w:rPr>
  </w:style>
  <w:style w:type="paragraph" w:styleId="Nadpis7">
    <w:name w:val="Heading 7"/>
    <w:basedOn w:val="Normal"/>
    <w:next w:val="Normal"/>
    <w:qFormat/>
    <w:pPr>
      <w:keepNext w:val="true"/>
      <w:numPr>
        <w:ilvl w:val="6"/>
        <w:numId w:val="1"/>
      </w:numPr>
      <w:jc w:val="center"/>
      <w:outlineLvl w:val="6"/>
    </w:pPr>
    <w:rPr>
      <w:rFonts w:ascii="Tahoma" w:hAnsi="Tahoma" w:cs="Tahoma"/>
      <w:sz w:val="40"/>
      <w:szCs w:val="40"/>
    </w:rPr>
  </w:style>
  <w:style w:type="paragraph" w:styleId="Nadpis8">
    <w:name w:val="Heading 8"/>
    <w:basedOn w:val="Normal"/>
    <w:next w:val="Normal"/>
    <w:qFormat/>
    <w:pPr>
      <w:keepNext w:val="true"/>
      <w:numPr>
        <w:ilvl w:val="7"/>
        <w:numId w:val="1"/>
      </w:numPr>
      <w:jc w:val="center"/>
      <w:outlineLvl w:val="7"/>
    </w:pPr>
    <w:rPr>
      <w:rFonts w:ascii="Arial Narrow" w:hAnsi="Arial Narrow" w:cs="Arial Narrow"/>
      <w:b/>
      <w:bCs/>
      <w:sz w:val="36"/>
    </w:rPr>
  </w:style>
  <w:style w:type="paragraph" w:styleId="Nadpis9">
    <w:name w:val="Heading 9"/>
    <w:basedOn w:val="Normal"/>
    <w:next w:val="Normal"/>
    <w:qFormat/>
    <w:pPr>
      <w:keepNext w:val="true"/>
      <w:widowControl w:val="false"/>
      <w:numPr>
        <w:ilvl w:val="8"/>
        <w:numId w:val="1"/>
      </w:numPr>
      <w:autoSpaceDE w:val="false"/>
      <w:spacing w:before="100" w:after="100"/>
      <w:jc w:val="center"/>
      <w:outlineLvl w:val="8"/>
    </w:pPr>
    <w:rPr>
      <w:rFonts w:ascii="Arial" w:hAnsi="Arial" w:cs="Arial"/>
      <w:b/>
      <w:bCs/>
      <w:sz w:val="18"/>
      <w:szCs w:val="18"/>
    </w:rPr>
  </w:style>
  <w:style w:type="character" w:styleId="WW8Num1z0">
    <w:name w:val="WW8Num1z0"/>
    <w:qFormat/>
    <w:rPr>
      <w:b/>
      <w:i w:val="false"/>
    </w:rPr>
  </w:style>
  <w:style w:type="character" w:styleId="WW8Num1z1">
    <w:name w:val="WW8Num1z1"/>
    <w:qFormat/>
    <w:rPr/>
  </w:style>
  <w:style w:type="character" w:styleId="WW8Num1z3">
    <w:name w:val="WW8Num1z3"/>
    <w:qFormat/>
    <w:rPr>
      <w:color w:val="000000"/>
    </w:rPr>
  </w:style>
  <w:style w:type="character" w:styleId="WW8Num1z4">
    <w:name w:val="WW8Num1z4"/>
    <w:qFormat/>
    <w:rPr>
      <w:i w:val="false"/>
    </w:rPr>
  </w:style>
  <w:style w:type="character" w:styleId="WW8Num2z0">
    <w:name w:val="WW8Num2z0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2z3">
    <w:name w:val="WW8Num2z3"/>
    <w:qFormat/>
    <w:rPr>
      <w:rFonts w:ascii="Symbol" w:hAnsi="Symbol" w:cs="Symbol"/>
    </w:rPr>
  </w:style>
  <w:style w:type="character" w:styleId="WW8Num3z0">
    <w:name w:val="WW8Num3z0"/>
    <w:qFormat/>
    <w:rPr>
      <w:rFonts w:ascii="Times New Roman" w:hAnsi="Times New Roman" w:eastAsia="Times New Roman" w:cs="Times New Roman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b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rFonts w:ascii="Times New Roman" w:hAnsi="Times New Roman" w:eastAsia="Times New Roman" w:cs="Times New Roman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7z0">
    <w:name w:val="WW8Num7z0"/>
    <w:qFormat/>
    <w:rPr>
      <w:rFonts w:ascii="Times New Roman" w:hAnsi="Times New Roman" w:eastAsia="Times New Roman" w:cs="Times New Roman"/>
    </w:rPr>
  </w:style>
  <w:style w:type="character" w:styleId="WW8Num7z1">
    <w:name w:val="WW8Num7z1"/>
    <w:qFormat/>
    <w:rPr>
      <w:rFonts w:ascii="Times New Roman" w:hAnsi="Times New Roman" w:cs="Times New Roman"/>
    </w:rPr>
  </w:style>
  <w:style w:type="character" w:styleId="WW8Num8z0">
    <w:name w:val="WW8Num8z0"/>
    <w:qFormat/>
    <w:rPr>
      <w:rFonts w:ascii="Times New Roman" w:hAnsi="Times New Roman" w:eastAsia="Times New Roman" w:cs="Times New Roman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9z0">
    <w:name w:val="WW8Num9z0"/>
    <w:qFormat/>
    <w:rPr>
      <w:rFonts w:ascii="Wingdings" w:hAnsi="Wingdings" w:cs="Wingdings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0">
    <w:name w:val="WW8Num10z0"/>
    <w:qFormat/>
    <w:rPr>
      <w:sz w:val="22"/>
      <w:szCs w:val="22"/>
    </w:rPr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8Num12z0">
    <w:name w:val="WW8Num12z0"/>
    <w:qFormat/>
    <w:rPr>
      <w:rFonts w:ascii="Times New Roman" w:hAnsi="Times New Roman" w:eastAsia="Times New Roman" w:cs="Times New Roman"/>
    </w:rPr>
  </w:style>
  <w:style w:type="character" w:styleId="WW8Num12z1">
    <w:name w:val="WW8Num12z1"/>
    <w:qFormat/>
    <w:rPr>
      <w:rFonts w:ascii="Symbol" w:hAnsi="Symbol" w:cs="Symbol"/>
      <w:spacing w:val="0"/>
      <w:position w:val="0"/>
      <w:sz w:val="24"/>
      <w:vertAlign w:val="baseline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2z4">
    <w:name w:val="WW8Num12z4"/>
    <w:qFormat/>
    <w:rPr>
      <w:rFonts w:ascii="Courier New" w:hAnsi="Courier New" w:cs="Courier New"/>
    </w:rPr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Times New Roman" w:hAnsi="Times New Roman" w:eastAsia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5z0">
    <w:name w:val="WW8Num15z0"/>
    <w:qFormat/>
    <w:rPr>
      <w:rFonts w:ascii="Times New Roman" w:hAnsi="Times New Roman" w:eastAsia="Times New Roman" w:cs="Times New Roman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WW8Num16z0">
    <w:name w:val="WW8Num16z0"/>
    <w:qFormat/>
    <w:rPr>
      <w:rFonts w:ascii="Times New Roman" w:hAnsi="Times New Roman" w:eastAsia="Times New Roman" w:cs="Times New Roman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6z3">
    <w:name w:val="WW8Num16z3"/>
    <w:qFormat/>
    <w:rPr>
      <w:rFonts w:ascii="Symbol" w:hAnsi="Symbol" w:cs="Symbol"/>
    </w:rPr>
  </w:style>
  <w:style w:type="character" w:styleId="WW8Num17z0">
    <w:name w:val="WW8Num17z0"/>
    <w:qFormat/>
    <w:rPr/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>
      <w:rFonts w:ascii="Symbol" w:hAnsi="Symbol" w:cs="Symbol"/>
    </w:rPr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>
      <w:rFonts w:ascii="Times New Roman" w:hAnsi="Times New Roman" w:eastAsia="Times New Roman" w:cs="Times New Roman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3">
    <w:name w:val="WW8Num20z3"/>
    <w:qFormat/>
    <w:rPr>
      <w:rFonts w:ascii="Symbol" w:hAnsi="Symbol" w:cs="Symbol"/>
    </w:rPr>
  </w:style>
  <w:style w:type="character" w:styleId="WW8Num21z0">
    <w:name w:val="WW8Num21z0"/>
    <w:qFormat/>
    <w:rPr>
      <w:rFonts w:ascii="Times New Roman" w:hAnsi="Times New Roman" w:eastAsia="Times New Roman" w:cs="Times New Roman"/>
    </w:rPr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>
      <w:rFonts w:ascii="Times New Roman" w:hAnsi="Times New Roman" w:eastAsia="Times New Roman" w:cs="Times New Roman"/>
    </w:rPr>
  </w:style>
  <w:style w:type="character" w:styleId="WW8Num22z1">
    <w:name w:val="WW8Num22z1"/>
    <w:qFormat/>
    <w:rPr>
      <w:rFonts w:ascii="Courier New" w:hAnsi="Courier New" w:cs="Courier New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2z3">
    <w:name w:val="WW8Num22z3"/>
    <w:qFormat/>
    <w:rPr>
      <w:rFonts w:ascii="Symbol" w:hAnsi="Symbol" w:cs="Symbol"/>
    </w:rPr>
  </w:style>
  <w:style w:type="character" w:styleId="WW8Num23z0">
    <w:name w:val="WW8Num23z0"/>
    <w:qFormat/>
    <w:rPr>
      <w:rFonts w:ascii="Times New Roman" w:hAnsi="Times New Roman" w:eastAsia="Times New Roman" w:cs="Times New Roman"/>
    </w:rPr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/>
  </w:style>
  <w:style w:type="character" w:styleId="WW8Num24z1">
    <w:name w:val="WW8Num24z1"/>
    <w:qFormat/>
    <w:rPr>
      <w:rFonts w:ascii="Courier New" w:hAnsi="Courier New" w:cs="Courier New"/>
    </w:rPr>
  </w:style>
  <w:style w:type="character" w:styleId="WW8Num24z2">
    <w:name w:val="WW8Num24z2"/>
    <w:qFormat/>
    <w:rPr>
      <w:rFonts w:ascii="Wingdings" w:hAnsi="Wingdings" w:cs="Wingdings"/>
    </w:rPr>
  </w:style>
  <w:style w:type="character" w:styleId="WW8Num24z3">
    <w:name w:val="WW8Num24z3"/>
    <w:qFormat/>
    <w:rPr>
      <w:rFonts w:ascii="Symbol" w:hAnsi="Symbol" w:cs="Symbol"/>
    </w:rPr>
  </w:style>
  <w:style w:type="character" w:styleId="WW8Num25z0">
    <w:name w:val="WW8Num25z0"/>
    <w:qFormat/>
    <w:rPr>
      <w:b/>
    </w:rPr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0">
    <w:name w:val="WW8Num26z0"/>
    <w:qFormat/>
    <w:rPr/>
  </w:style>
  <w:style w:type="character" w:styleId="WW8Num26z1">
    <w:name w:val="WW8Num26z1"/>
    <w:qFormat/>
    <w:rPr/>
  </w:style>
  <w:style w:type="character" w:styleId="WW8Num26z2">
    <w:name w:val="WW8Num26z2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>
      <w:rFonts w:ascii="Times New Roman" w:hAnsi="Times New Roman" w:eastAsia="Times New Roman" w:cs="Times New Roman"/>
    </w:rPr>
  </w:style>
  <w:style w:type="character" w:styleId="WW8Num28z1">
    <w:name w:val="WW8Num28z1"/>
    <w:qFormat/>
    <w:rPr>
      <w:rFonts w:ascii="Courier New" w:hAnsi="Courier New" w:cs="Courier New"/>
    </w:rPr>
  </w:style>
  <w:style w:type="character" w:styleId="WW8Num28z2">
    <w:name w:val="WW8Num28z2"/>
    <w:qFormat/>
    <w:rPr>
      <w:rFonts w:ascii="Wingdings" w:hAnsi="Wingdings" w:cs="Wingdings"/>
    </w:rPr>
  </w:style>
  <w:style w:type="character" w:styleId="WW8Num28z3">
    <w:name w:val="WW8Num28z3"/>
    <w:qFormat/>
    <w:rPr>
      <w:rFonts w:ascii="Symbol" w:hAnsi="Symbol" w:cs="Symbol"/>
    </w:rPr>
  </w:style>
  <w:style w:type="character" w:styleId="WW8Num29z0">
    <w:name w:val="WW8Num29z0"/>
    <w:qFormat/>
    <w:rPr>
      <w:rFonts w:ascii="Times New Roman" w:hAnsi="Times New Roman" w:eastAsia="Times New Roman" w:cs="Times New Roman"/>
    </w:rPr>
  </w:style>
  <w:style w:type="character" w:styleId="WW8Num29z1">
    <w:name w:val="WW8Num29z1"/>
    <w:qFormat/>
    <w:rPr>
      <w:rFonts w:ascii="Courier New" w:hAnsi="Courier New" w:cs="Courier New"/>
    </w:rPr>
  </w:style>
  <w:style w:type="character" w:styleId="WW8Num29z2">
    <w:name w:val="WW8Num29z2"/>
    <w:qFormat/>
    <w:rPr>
      <w:rFonts w:ascii="Wingdings" w:hAnsi="Wingdings" w:cs="Wingdings"/>
    </w:rPr>
  </w:style>
  <w:style w:type="character" w:styleId="WW8Num29z3">
    <w:name w:val="WW8Num29z3"/>
    <w:qFormat/>
    <w:rPr>
      <w:rFonts w:ascii="Symbol" w:hAnsi="Symbol" w:cs="Symbol"/>
    </w:rPr>
  </w:style>
  <w:style w:type="character" w:styleId="WW8Num30z0">
    <w:name w:val="WW8Num30z0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0">
    <w:name w:val="WW8Num31z0"/>
    <w:qFormat/>
    <w:rPr>
      <w:rFonts w:ascii="Symbol" w:hAnsi="Symbol" w:cs="Symbol"/>
    </w:rPr>
  </w:style>
  <w:style w:type="character" w:styleId="WW8Num31z1">
    <w:name w:val="WW8Num31z1"/>
    <w:qFormat/>
    <w:rPr>
      <w:rFonts w:ascii="Courier New" w:hAnsi="Courier New" w:cs="Courier New"/>
    </w:rPr>
  </w:style>
  <w:style w:type="character" w:styleId="WW8Num31z2">
    <w:name w:val="WW8Num31z2"/>
    <w:qFormat/>
    <w:rPr>
      <w:rFonts w:ascii="Wingdings" w:hAnsi="Wingdings" w:cs="Wingdings"/>
    </w:rPr>
  </w:style>
  <w:style w:type="character" w:styleId="WW8Num32z0">
    <w:name w:val="WW8Num32z0"/>
    <w:qFormat/>
    <w:rPr/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0">
    <w:name w:val="WW8Num33z0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Standardnpsmoodstavce">
    <w:name w:val="Standardní písmo odstavce"/>
    <w:qFormat/>
    <w:rPr/>
  </w:style>
  <w:style w:type="character" w:styleId="Internetovodkaz">
    <w:name w:val="Internetový odkaz"/>
    <w:rPr>
      <w:color w:val="0000FF"/>
      <w:u w:val="single"/>
    </w:rPr>
  </w:style>
  <w:style w:type="character" w:styleId="Slostrnky">
    <w:name w:val="Číslo stránky"/>
    <w:basedOn w:val="Standardnpsmoodstavce"/>
    <w:rPr/>
  </w:style>
  <w:style w:type="character" w:styleId="Navtveninternetovodkaz">
    <w:name w:val="Navštívený internetový odkaz"/>
    <w:rPr>
      <w:color w:val="800080"/>
      <w:u w:val="single"/>
    </w:rPr>
  </w:style>
  <w:style w:type="character" w:styleId="Silnzdraznn">
    <w:name w:val="Silné zdůraznění"/>
    <w:qFormat/>
    <w:rPr>
      <w:b/>
      <w:bCs/>
    </w:rPr>
  </w:style>
  <w:style w:type="character" w:styleId="Cpvselected1">
    <w:name w:val="cpvselected1"/>
    <w:qFormat/>
    <w:rPr>
      <w:color w:val="FF0000"/>
    </w:rPr>
  </w:style>
  <w:style w:type="character" w:styleId="CharChar">
    <w:name w:val=" Char Char"/>
    <w:qFormat/>
    <w:rPr>
      <w:rFonts w:ascii="Tahoma" w:hAnsi="Tahoma" w:cs="Tahoma"/>
      <w:sz w:val="16"/>
      <w:szCs w:val="16"/>
    </w:rPr>
  </w:style>
  <w:style w:type="paragraph" w:styleId="Nadpis">
    <w:name w:val="Nadpis"/>
    <w:basedOn w:val="Normal"/>
    <w:next w:val="Tlotextu"/>
    <w:qFormat/>
    <w:pPr>
      <w:spacing w:lineRule="atLeast" w:line="240" w:before="120" w:after="0"/>
      <w:ind w:left="0" w:right="-663" w:hanging="0"/>
      <w:jc w:val="center"/>
    </w:pPr>
    <w:rPr>
      <w:rFonts w:ascii="Arial Narrow" w:hAnsi="Arial Narrow" w:cs="Arial Narrow"/>
      <w:b/>
      <w:sz w:val="32"/>
      <w:szCs w:val="20"/>
      <w:u w:val="single"/>
    </w:rPr>
  </w:style>
  <w:style w:type="paragraph" w:styleId="Tlotextu">
    <w:name w:val="Body Text"/>
    <w:basedOn w:val="Normal"/>
    <w:pPr>
      <w:spacing w:before="0" w:after="120"/>
    </w:pPr>
    <w:rPr>
      <w:szCs w:val="20"/>
    </w:rPr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Odsazentlatextu">
    <w:name w:val="Body Text Indent"/>
    <w:basedOn w:val="Normal"/>
    <w:pPr>
      <w:spacing w:before="280" w:after="280"/>
    </w:pPr>
    <w:rPr/>
  </w:style>
  <w:style w:type="paragraph" w:styleId="Zkladntext2">
    <w:name w:val="Základní text 2"/>
    <w:basedOn w:val="Normal"/>
    <w:qFormat/>
    <w:pPr>
      <w:spacing w:lineRule="auto" w:line="480" w:before="0" w:after="120"/>
    </w:pPr>
    <w:rPr/>
  </w:style>
  <w:style w:type="paragraph" w:styleId="Zhlavazpat">
    <w:name w:val="Záhlaví a zápatí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Zpat">
    <w:name w:val="Foot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Zhlav">
    <w:name w:val="Head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Textodstavce">
    <w:name w:val="Text odstavce"/>
    <w:basedOn w:val="Normal"/>
    <w:qFormat/>
    <w:pPr>
      <w:numPr>
        <w:ilvl w:val="0"/>
        <w:numId w:val="6"/>
      </w:numPr>
      <w:tabs>
        <w:tab w:val="clear" w:pos="720"/>
        <w:tab w:val="left" w:pos="851" w:leader="none"/>
      </w:tabs>
      <w:spacing w:before="120" w:after="120"/>
      <w:jc w:val="both"/>
      <w:outlineLvl w:val="6"/>
    </w:pPr>
    <w:rPr>
      <w:szCs w:val="20"/>
    </w:rPr>
  </w:style>
  <w:style w:type="paragraph" w:styleId="Textbodu">
    <w:name w:val="Text bodu"/>
    <w:basedOn w:val="Normal"/>
    <w:qFormat/>
    <w:pPr>
      <w:numPr>
        <w:ilvl w:val="0"/>
        <w:numId w:val="6"/>
      </w:numPr>
      <w:jc w:val="both"/>
      <w:outlineLvl w:val="8"/>
    </w:pPr>
    <w:rPr>
      <w:szCs w:val="20"/>
    </w:rPr>
  </w:style>
  <w:style w:type="paragraph" w:styleId="Textpsmene">
    <w:name w:val="Text písmene"/>
    <w:basedOn w:val="Normal"/>
    <w:qFormat/>
    <w:pPr>
      <w:numPr>
        <w:ilvl w:val="0"/>
        <w:numId w:val="6"/>
      </w:numPr>
      <w:jc w:val="both"/>
      <w:outlineLvl w:val="7"/>
    </w:pPr>
    <w:rPr>
      <w:szCs w:val="20"/>
    </w:rPr>
  </w:style>
  <w:style w:type="paragraph" w:styleId="Textparagrafu">
    <w:name w:val="Text paragrafu"/>
    <w:basedOn w:val="Normal"/>
    <w:qFormat/>
    <w:pPr>
      <w:numPr>
        <w:ilvl w:val="0"/>
        <w:numId w:val="0"/>
      </w:numPr>
      <w:spacing w:before="240" w:after="0"/>
      <w:ind w:left="0" w:right="0" w:firstLine="425"/>
      <w:jc w:val="both"/>
      <w:outlineLvl w:val="5"/>
    </w:pPr>
    <w:rPr>
      <w:szCs w:val="20"/>
    </w:rPr>
  </w:style>
  <w:style w:type="paragraph" w:styleId="Zkladntext3">
    <w:name w:val="Základní text 3"/>
    <w:basedOn w:val="Normal"/>
    <w:qFormat/>
    <w:pPr>
      <w:numPr>
        <w:ilvl w:val="0"/>
        <w:numId w:val="0"/>
      </w:numPr>
      <w:jc w:val="both"/>
      <w:outlineLvl w:val="0"/>
    </w:pPr>
    <w:rPr/>
  </w:style>
  <w:style w:type="paragraph" w:styleId="Zkladntextodsazen3">
    <w:name w:val="Základní text odsazený 3"/>
    <w:basedOn w:val="Normal"/>
    <w:qFormat/>
    <w:pPr>
      <w:ind w:left="709" w:right="0" w:hanging="709"/>
    </w:pPr>
    <w:rPr>
      <w:rFonts w:ascii="Arial Narrow" w:hAnsi="Arial Narrow" w:cs="Arial Narrow"/>
      <w:szCs w:val="20"/>
    </w:rPr>
  </w:style>
  <w:style w:type="paragraph" w:styleId="Zkladntextodsazen2">
    <w:name w:val="Základní text odsazený 2"/>
    <w:basedOn w:val="Normal"/>
    <w:qFormat/>
    <w:pPr>
      <w:ind w:left="360" w:right="0" w:hanging="360"/>
      <w:jc w:val="both"/>
    </w:pPr>
    <w:rPr/>
  </w:style>
  <w:style w:type="paragraph" w:styleId="Import11">
    <w:name w:val="Import 11"/>
    <w:basedOn w:val="Normal"/>
    <w:qFormat/>
    <w:pPr>
      <w:tabs>
        <w:tab w:val="clear" w:pos="720"/>
        <w:tab w:val="left" w:pos="3888" w:leader="none"/>
        <w:tab w:val="left" w:pos="5184" w:leader="none"/>
      </w:tabs>
      <w:suppressAutoHyphens w:val="true"/>
      <w:spacing w:lineRule="auto" w:line="228"/>
      <w:ind w:left="576" w:right="0" w:hanging="0"/>
    </w:pPr>
    <w:rPr>
      <w:rFonts w:ascii="Courier New" w:hAnsi="Courier New" w:cs="Courier New"/>
      <w:szCs w:val="20"/>
    </w:rPr>
  </w:style>
  <w:style w:type="paragraph" w:styleId="Import13">
    <w:name w:val="Import 13"/>
    <w:basedOn w:val="Normal"/>
    <w:qFormat/>
    <w:pPr>
      <w:tabs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  <w:suppressAutoHyphens w:val="true"/>
      <w:spacing w:lineRule="auto" w:line="228"/>
      <w:ind w:left="720" w:right="0" w:firstLine="288"/>
    </w:pPr>
    <w:rPr>
      <w:rFonts w:ascii="Courier New" w:hAnsi="Courier New" w:cs="Courier New"/>
      <w:szCs w:val="20"/>
    </w:rPr>
  </w:style>
  <w:style w:type="paragraph" w:styleId="Import0">
    <w:name w:val="Import 0"/>
    <w:basedOn w:val="Normal"/>
    <w:qFormat/>
    <w:pPr>
      <w:suppressAutoHyphens w:val="true"/>
      <w:spacing w:lineRule="auto" w:line="276"/>
    </w:pPr>
    <w:rPr>
      <w:rFonts w:ascii="Courier New" w:hAnsi="Courier New" w:cs="Courier New"/>
      <w:szCs w:val="20"/>
    </w:rPr>
  </w:style>
  <w:style w:type="paragraph" w:styleId="Import2">
    <w:name w:val="Import 2"/>
    <w:basedOn w:val="Import0"/>
    <w:qFormat/>
    <w:pPr>
      <w:tabs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  <w:spacing w:lineRule="auto" w:line="228"/>
      <w:ind w:left="576" w:right="0" w:hanging="0"/>
    </w:pPr>
    <w:rPr/>
  </w:style>
  <w:style w:type="paragraph" w:styleId="Prosttext">
    <w:name w:val="Prostý text"/>
    <w:basedOn w:val="Normal"/>
    <w:qFormat/>
    <w:pPr/>
    <w:rPr>
      <w:rFonts w:ascii="Courier New" w:hAnsi="Courier New" w:cs="Courier New"/>
      <w:sz w:val="20"/>
      <w:szCs w:val="20"/>
    </w:rPr>
  </w:style>
  <w:style w:type="paragraph" w:styleId="NormalJustified">
    <w:name w:val="Normal (Justified)"/>
    <w:basedOn w:val="Normal"/>
    <w:qFormat/>
    <w:pPr>
      <w:widowControl w:val="false"/>
      <w:jc w:val="both"/>
    </w:pPr>
    <w:rPr>
      <w:rFonts w:ascii="Arial Narrow" w:hAnsi="Arial Narrow" w:cs="Arial Narrow"/>
      <w:kern w:val="2"/>
      <w:szCs w:val="20"/>
    </w:rPr>
  </w:style>
  <w:style w:type="paragraph" w:styleId="Normal01">
    <w:name w:val="Normal 01"/>
    <w:basedOn w:val="Normal"/>
    <w:qFormat/>
    <w:pPr>
      <w:widowControl w:val="false"/>
    </w:pPr>
    <w:rPr>
      <w:rFonts w:ascii="Arial" w:hAnsi="Arial" w:cs="Arial"/>
      <w:sz w:val="17"/>
      <w:szCs w:val="20"/>
    </w:rPr>
  </w:style>
  <w:style w:type="paragraph" w:styleId="Textvbloku">
    <w:name w:val="Text v bloku"/>
    <w:basedOn w:val="Normal"/>
    <w:qFormat/>
    <w:pPr>
      <w:autoSpaceDE w:val="false"/>
      <w:ind w:left="470" w:right="110" w:hanging="180"/>
      <w:jc w:val="both"/>
    </w:pPr>
    <w:rPr>
      <w:rFonts w:ascii="Arial Narrow" w:hAnsi="Arial Narrow" w:cs="Arial Narrow"/>
      <w:color w:val="000000"/>
      <w:sz w:val="22"/>
    </w:rPr>
  </w:style>
  <w:style w:type="paragraph" w:styleId="ListParagraph">
    <w:name w:val="List Paragraph"/>
    <w:basedOn w:val="Normal"/>
    <w:qFormat/>
    <w:pPr>
      <w:ind w:left="720" w:right="0" w:firstLine="709"/>
    </w:pPr>
    <w:rPr>
      <w:rFonts w:ascii="Calibri" w:hAnsi="Calibri" w:eastAsia="Calibri" w:cs="Calibri"/>
      <w:sz w:val="22"/>
      <w:szCs w:val="22"/>
    </w:rPr>
  </w:style>
  <w:style w:type="paragraph" w:styleId="Cislovani1">
    <w:name w:val="cislovani 1"/>
    <w:basedOn w:val="Normal"/>
    <w:next w:val="Normal"/>
    <w:qFormat/>
    <w:pPr>
      <w:keepNext w:val="true"/>
      <w:numPr>
        <w:ilvl w:val="0"/>
        <w:numId w:val="2"/>
      </w:numPr>
      <w:spacing w:lineRule="auto" w:line="288" w:before="480" w:after="0"/>
      <w:ind w:left="567" w:right="0" w:hanging="0"/>
    </w:pPr>
    <w:rPr>
      <w:rFonts w:ascii="JohnSans Text Pro;Arial" w:hAnsi="JohnSans Text Pro;Arial" w:cs="JohnSans Text Pro;Arial"/>
      <w:b/>
      <w:caps/>
    </w:rPr>
  </w:style>
  <w:style w:type="paragraph" w:styleId="Cislovani2">
    <w:name w:val="Cislovani 2"/>
    <w:basedOn w:val="Normal"/>
    <w:qFormat/>
    <w:pPr>
      <w:keepNext w:val="true"/>
      <w:numPr>
        <w:ilvl w:val="0"/>
        <w:numId w:val="2"/>
      </w:numPr>
      <w:tabs>
        <w:tab w:val="clear" w:pos="720"/>
        <w:tab w:val="left" w:pos="851" w:leader="none"/>
        <w:tab w:val="left" w:pos="1021" w:leader="none"/>
      </w:tabs>
      <w:spacing w:lineRule="auto" w:line="288" w:before="240" w:after="0"/>
      <w:ind w:left="851" w:right="0" w:hanging="851"/>
      <w:jc w:val="both"/>
    </w:pPr>
    <w:rPr>
      <w:rFonts w:ascii="JohnSans Text Pro;Arial" w:hAnsi="JohnSans Text Pro;Arial" w:cs="JohnSans Text Pro;Arial"/>
      <w:sz w:val="20"/>
    </w:rPr>
  </w:style>
  <w:style w:type="paragraph" w:styleId="Cislovani3">
    <w:name w:val="Cislovani 3"/>
    <w:basedOn w:val="Normal"/>
    <w:qFormat/>
    <w:pPr>
      <w:numPr>
        <w:ilvl w:val="0"/>
        <w:numId w:val="2"/>
      </w:numPr>
      <w:tabs>
        <w:tab w:val="clear" w:pos="720"/>
        <w:tab w:val="left" w:pos="851" w:leader="none"/>
      </w:tabs>
      <w:spacing w:lineRule="auto" w:line="288" w:before="120" w:after="0"/>
      <w:ind w:left="851" w:right="0" w:hanging="851"/>
      <w:jc w:val="both"/>
    </w:pPr>
    <w:rPr>
      <w:rFonts w:ascii="JohnSans Text Pro;Arial" w:hAnsi="JohnSans Text Pro;Arial" w:cs="JohnSans Text Pro;Arial"/>
      <w:sz w:val="20"/>
    </w:rPr>
  </w:style>
  <w:style w:type="paragraph" w:styleId="Cislovani4">
    <w:name w:val="Cislovani 4"/>
    <w:basedOn w:val="Normal"/>
    <w:qFormat/>
    <w:pPr>
      <w:numPr>
        <w:ilvl w:val="0"/>
        <w:numId w:val="2"/>
      </w:numPr>
      <w:tabs>
        <w:tab w:val="clear" w:pos="720"/>
        <w:tab w:val="left" w:pos="851" w:leader="none"/>
      </w:tabs>
      <w:spacing w:lineRule="auto" w:line="288" w:before="120" w:after="0"/>
      <w:ind w:left="851" w:right="0" w:hanging="851"/>
      <w:jc w:val="both"/>
    </w:pPr>
    <w:rPr>
      <w:rFonts w:ascii="JohnSans Text Pro;Arial" w:hAnsi="JohnSans Text Pro;Arial" w:cs="JohnSans Text Pro;Arial"/>
      <w:sz w:val="20"/>
    </w:rPr>
  </w:style>
  <w:style w:type="paragraph" w:styleId="Cislovani4text">
    <w:name w:val="Cislovani 4 text"/>
    <w:basedOn w:val="Normal"/>
    <w:qFormat/>
    <w:pPr>
      <w:numPr>
        <w:ilvl w:val="0"/>
        <w:numId w:val="2"/>
      </w:numPr>
      <w:tabs>
        <w:tab w:val="clear" w:pos="720"/>
        <w:tab w:val="left" w:pos="851" w:leader="none"/>
      </w:tabs>
      <w:spacing w:lineRule="auto" w:line="288" w:before="120" w:after="0"/>
      <w:ind w:left="851" w:right="0" w:hanging="851"/>
      <w:jc w:val="both"/>
    </w:pPr>
    <w:rPr>
      <w:rFonts w:ascii="JohnSans Text Pro;Arial" w:hAnsi="JohnSans Text Pro;Arial" w:cs="JohnSans Text Pro;Arial"/>
      <w:i/>
      <w:sz w:val="20"/>
    </w:rPr>
  </w:style>
  <w:style w:type="paragraph" w:styleId="Default">
    <w:name w:val="Default"/>
    <w:qFormat/>
    <w:pPr>
      <w:widowControl/>
      <w:kinsoku w:val="true"/>
      <w:overflowPunct w:val="true"/>
      <w:autoSpaceDE w:val="false"/>
      <w:bidi w:val="0"/>
    </w:pPr>
    <w:rPr>
      <w:rFonts w:ascii="Times New Roman" w:hAnsi="Times New Roman" w:eastAsia="Times New Roman" w:cs="Times New Roman"/>
      <w:color w:val="000000"/>
      <w:sz w:val="24"/>
      <w:szCs w:val="24"/>
      <w:lang w:val="cs-CZ" w:bidi="ar-SA" w:eastAsia="zh-CN"/>
    </w:rPr>
  </w:style>
  <w:style w:type="paragraph" w:styleId="Import8">
    <w:name w:val="Import 8"/>
    <w:qFormat/>
    <w:pPr>
      <w:widowControl/>
      <w:tabs>
        <w:tab w:val="clear" w:pos="720"/>
        <w:tab w:val="left" w:pos="504" w:leader="none"/>
        <w:tab w:val="left" w:pos="1368" w:leader="none"/>
        <w:tab w:val="left" w:pos="2232" w:leader="none"/>
        <w:tab w:val="left" w:pos="3096" w:leader="none"/>
        <w:tab w:val="left" w:pos="3960" w:leader="none"/>
        <w:tab w:val="left" w:pos="4824" w:leader="none"/>
        <w:tab w:val="left" w:pos="5688" w:leader="none"/>
        <w:tab w:val="left" w:pos="6552" w:leader="none"/>
        <w:tab w:val="left" w:pos="7416" w:leader="none"/>
        <w:tab w:val="left" w:pos="8280" w:leader="none"/>
      </w:tabs>
      <w:kinsoku w:val="true"/>
      <w:overflowPunct w:val="true"/>
      <w:autoSpaceDE w:val="true"/>
      <w:bidi w:val="0"/>
      <w:jc w:val="both"/>
    </w:pPr>
    <w:rPr>
      <w:rFonts w:ascii="Avinion;Arial" w:hAnsi="Avinion;Arial" w:eastAsia="Times New Roman" w:cs="Avinion;Arial"/>
      <w:color w:val="auto"/>
      <w:sz w:val="24"/>
      <w:szCs w:val="20"/>
      <w:lang w:val="en-US" w:bidi="ar-SA" w:eastAsia="zh-CN"/>
    </w:rPr>
  </w:style>
  <w:style w:type="paragraph" w:styleId="ZkladntextodsazenIMP">
    <w:name w:val="Základní text odsazený_IMP"/>
    <w:basedOn w:val="Normal"/>
    <w:qFormat/>
    <w:pPr>
      <w:tabs>
        <w:tab w:val="clear" w:pos="720"/>
        <w:tab w:val="left" w:pos="6720" w:leader="none"/>
      </w:tabs>
      <w:suppressAutoHyphens w:val="true"/>
      <w:overflowPunct w:val="false"/>
      <w:autoSpaceDE w:val="false"/>
      <w:spacing w:lineRule="auto" w:line="228"/>
      <w:ind w:left="227" w:right="0" w:hanging="0"/>
      <w:textAlignment w:val="baseline"/>
    </w:pPr>
    <w:rPr>
      <w:rFonts w:ascii="Times New Roman" w:hAnsi="Times New Roman" w:cs="Times New Roman"/>
      <w:sz w:val="22"/>
      <w:szCs w:val="20"/>
    </w:rPr>
  </w:style>
  <w:style w:type="paragraph" w:styleId="Textbubliny">
    <w:name w:val="Text bubliny"/>
    <w:basedOn w:val="Normal"/>
    <w:qFormat/>
    <w:pPr/>
    <w:rPr>
      <w:rFonts w:ascii="Tahoma" w:hAnsi="Tahoma" w:cs="Tahoma"/>
      <w:sz w:val="16"/>
      <w:szCs w:val="16"/>
    </w:rPr>
  </w:style>
  <w:style w:type="paragraph" w:styleId="Obsahrmce">
    <w:name w:val="Obsah rámce"/>
    <w:basedOn w:val="Normal"/>
    <w:qFormat/>
    <w:pPr/>
    <w:rPr/>
  </w:style>
  <w:style w:type="paragraph" w:styleId="Obsahtabulky">
    <w:name w:val="Obsah tabulky"/>
    <w:basedOn w:val="Normal"/>
    <w:qFormat/>
    <w:pPr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  <w:style w:type="paragraph" w:styleId="Citace">
    <w:name w:val="Citace"/>
    <w:basedOn w:val="Normal"/>
    <w:qFormat/>
    <w:pPr>
      <w:spacing w:before="0" w:after="283"/>
      <w:ind w:left="567" w:right="567" w:hanging="0"/>
    </w:pPr>
    <w:rPr/>
  </w:style>
  <w:style w:type="paragraph" w:styleId="Nzev">
    <w:name w:val="Title"/>
    <w:basedOn w:val="Nadpis"/>
    <w:next w:val="Tlotextu"/>
    <w:qFormat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Tlotextu"/>
    <w:qFormat/>
    <w:pPr>
      <w:spacing w:before="60" w:after="120"/>
      <w:jc w:val="center"/>
    </w:pPr>
    <w:rPr>
      <w:sz w:val="36"/>
      <w:szCs w:val="36"/>
    </w:rPr>
  </w:style>
  <w:style w:type="paragraph" w:styleId="Normln1">
    <w:name w:val="Normální1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Times New Roman" w:hAnsi="Times New Roman" w:eastAsia="Arial" w:cs="Times New Roman"/>
      <w:color w:val="auto"/>
      <w:sz w:val="24"/>
      <w:szCs w:val="20"/>
      <w:lang w:val="cs-CZ" w:eastAsia="zh-CN" w:bidi="ar-SA"/>
    </w:rPr>
  </w:style>
  <w:style w:type="paragraph" w:styleId="Zkladntext21">
    <w:name w:val="Základní text 21"/>
    <w:basedOn w:val="Normal"/>
    <w:qFormat/>
    <w:pPr>
      <w:jc w:val="both"/>
    </w:pPr>
    <w:rPr>
      <w:color w:val="000000"/>
      <w:szCs w:val="20"/>
    </w:rPr>
  </w:style>
  <w:style w:type="paragraph" w:styleId="Zkladntextodsazen21">
    <w:name w:val="Základní text odsazený 21"/>
    <w:basedOn w:val="Normln1"/>
    <w:qFormat/>
    <w:pPr>
      <w:ind w:left="2268" w:right="0" w:hanging="0"/>
      <w:jc w:val="both"/>
    </w:pPr>
    <w:rPr>
      <w:color w:val="0000FF"/>
      <w:sz w:val="26"/>
    </w:rPr>
  </w:style>
  <w:style w:type="paragraph" w:styleId="Normodsaz">
    <w:name w:val="Norm.odsaz."/>
    <w:basedOn w:val="Normal"/>
    <w:qFormat/>
    <w:pPr>
      <w:numPr>
        <w:ilvl w:val="0"/>
        <w:numId w:val="3"/>
      </w:numPr>
      <w:suppressAutoHyphens w:val="true"/>
      <w:spacing w:before="120" w:after="120"/>
      <w:ind w:left="0" w:right="0" w:hanging="0"/>
      <w:jc w:val="both"/>
    </w:pPr>
    <w:rPr>
      <w:rFonts w:ascii="Arial" w:hAnsi="Arial" w:cs="Arial"/>
      <w:sz w:val="20"/>
      <w:szCs w:val="20"/>
    </w:rPr>
  </w:style>
  <w:style w:type="paragraph" w:styleId="Zkladntextodsazen31">
    <w:name w:val="Základní text odsazený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Normal2">
    <w:name w:val="Normal 2"/>
    <w:basedOn w:val="Normal"/>
    <w:qFormat/>
    <w:pPr>
      <w:spacing w:before="120" w:after="120"/>
      <w:ind w:left="709" w:right="0" w:hanging="0"/>
      <w:jc w:val="both"/>
    </w:pPr>
    <w:rPr>
      <w:sz w:val="22"/>
      <w:szCs w:val="20"/>
    </w:rPr>
  </w:style>
  <w:style w:type="paragraph" w:styleId="NoSpacing">
    <w:name w:val="No Spacing"/>
    <w:qFormat/>
    <w:pPr>
      <w:widowControl w:val="false"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Calibri" w:hAnsi="Calibri" w:eastAsia="Lucida Sans Unicode" w:cs="Tahoma"/>
      <w:color w:val="auto"/>
      <w:kern w:val="2"/>
      <w:sz w:val="22"/>
      <w:szCs w:val="22"/>
      <w:lang w:val="cs-CZ" w:eastAsia="en-US" w:bidi="ar-SA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366</TotalTime>
  <Application>LibreOffice/7.1.4.2$Windows_X86_64 LibreOffice_project/a529a4fab45b75fefc5b6226684193eb000654f6</Application>
  <AppVersion>15.0000</AppVersion>
  <Pages>7</Pages>
  <Words>3045</Words>
  <Characters>18627</Characters>
  <CharactersWithSpaces>21469</CharactersWithSpaces>
  <Paragraphs>224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2016-04-25T09:40:00Z</dcterms:created>
  <dc:creator>Stanislav Janouš</dc:creator>
  <dc:description/>
  <dc:language>cs-CZ</dc:language>
  <cp:lastModifiedBy/>
  <dcterms:modified xsi:type="dcterms:W3CDTF">2021-08-14T21:59:07Z</dcterms:modified>
  <cp:revision>28</cp:revision>
  <dc:subject/>
  <dc:title/>
</cp:coreProperties>
</file>