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azentlatextu"/>
        <w:keepNext w:val="false"/>
        <w:pageBreakBefore w:val="false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čj. OB/20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22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3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62</w:t>
      </w:r>
    </w:p>
    <w:p>
      <w:pPr>
        <w:pStyle w:val="Odsazentlatextu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dpis5"/>
              <w:keepNext w:val="false"/>
              <w:pageBreakBefore w:val="false"/>
              <w:widowControl w:val="false"/>
              <w:suppressAutoHyphens w:val="false"/>
              <w:rPr>
                <w:rFonts w:ascii="Times New Roman" w:hAnsi="Times New Roman"/>
                <w:i w:val="false"/>
                <w:i w:val="false"/>
                <w:iCs w:val="false"/>
                <w:sz w:val="32"/>
                <w:szCs w:val="32"/>
                <w:u w:val="none"/>
              </w:rPr>
            </w:pPr>
            <w:r>
              <w:rPr>
                <w:rFonts w:ascii="Times New Roman" w:hAnsi="Times New Roman"/>
                <w:i w:val="false"/>
                <w:iCs w:val="false"/>
                <w:sz w:val="32"/>
                <w:szCs w:val="32"/>
                <w:u w:val="none"/>
              </w:rPr>
              <w:t>Výzva k podání nabídky a prokázání splnění kvalifikace</w:t>
            </w:r>
          </w:p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(Zadávací podmínky jsou součástí této výzvy)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Veřejný zadavatel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Obec Běleč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(dále též „zadavatel“) vyhlašuje v souladu s ustanovením § </w:t>
      </w:r>
      <w:r>
        <w:rPr>
          <w:rFonts w:ascii="Times New Roman" w:hAnsi="Times New Roman"/>
          <w:i w:val="false"/>
          <w:iCs w:val="false"/>
          <w:sz w:val="22"/>
          <w:szCs w:val="22"/>
        </w:rPr>
        <w:t>6, § 27 a § 31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zákona č. 13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>/20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6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 zadávání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veřejných zakáz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k, v platném znění (dále též „Z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VZ“), zadávací řízení postupem dle § 6 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 v zájmu uzavřít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předmětné zakázce smlouvu o dílo, dle podmínek následující Výzvy k podání nabídky a prokázání splnění kvalifikace a zadávacích podmínek, které jsou součástí této výzvy.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1. Veřejný zadavatel a název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Běleč – d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opravní automobil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2. Předmět a předpokládaná hodnota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Předmět plnění veřejné zakázky je úplatný převod vlastnického práva k předmětu koupě movité věci (dopravnímu automobilu) uvedenému v odst. 2 a odst. 3. Tato smlouva se uzavírá na základě výsledku zadávacího řízení k veřejné zakázce s názvem „Běleč – dopravní automobil“, která byla zadána mimo režim zákona č. 134/2016., o zadávání veřejných zakázek.</w:t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Předmětem koupě je 1 ks nového dopravního automobilu v provedení „Z“ (základním), kategorie podvozku 1 „pro městský provoz“, s celkovou hmotností do 3500 kg dle požadavků uvedených v příloze č. 2 této smlouvy: Technické podmínky pro dopravní automobil.</w:t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Dopravní automobil musí splňovat požadavky předpisů pro provoz vozidel na pozemních komunikacích v ČR, požadavky stanovené vyhláškou č. 53/2010 Sb., kterou se mění vyhláška č. 35/2007 Sb., o technických podmínkách požární techniky, a to doložením prohlášení o shodě výrobku, požadavky stanovené vyhláškou č. 247/2001 Sb., o organizaci a činnosti jednotek požární ochrany, ve znění vyhlášky č. 226/2005 Sb.</w:t>
      </w:r>
    </w:p>
    <w:p>
      <w:pPr>
        <w:pStyle w:val="NormalJustified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102"/>
        <w:gridCol w:w="1247"/>
        <w:gridCol w:w="1031"/>
        <w:gridCol w:w="3390"/>
      </w:tblGrid>
      <w:tr>
        <w:trPr/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Klasifikace předmětu a předpokládaná hodnota zakázky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CPV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množství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Předpokládaná hodnota (bez DPH) </w:t>
            </w:r>
          </w:p>
        </w:tc>
      </w:tr>
      <w:tr>
        <w:trPr>
          <w:trHeight w:val="117" w:hRule="atLeast"/>
          <w:cantSplit w:val="true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P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ožární vozidl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34144213-4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1 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ks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825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.000,- Kč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3. Údaje pro vyžádání zadávací dokumentace: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320"/>
        <w:gridCol w:w="6450"/>
      </w:tblGrid>
      <w:tr>
        <w:trPr>
          <w:trHeight w:val="301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Adresa pro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v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yžádání zadávací dokumentace:</w:t>
            </w:r>
          </w:p>
        </w:tc>
        <w:tc>
          <w:tcPr>
            <w:tcW w:w="64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eastAsia="Arial Narrow" w:cs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Obec Běleč</w:t>
            </w:r>
            <w:r>
              <w:rPr>
                <w:rFonts w:eastAsia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, Běleč 22, 391 43 Běleč,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email: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smejkal@obecbelec.cz</w:t>
            </w:r>
          </w:p>
        </w:tc>
      </w:tr>
      <w:tr>
        <w:trPr>
          <w:trHeight w:val="452" w:hRule="atLeast"/>
          <w:cantSplit w:val="true"/>
        </w:trPr>
        <w:tc>
          <w:tcPr>
            <w:tcW w:w="10770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dpis2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10" w:right="11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Kompletní zadávací dokumentaci zadavatel zasílá současně s touto Výzvou k  rukám vyzvaných uchazečů popř. ji zadavatel uchazeči odešle do dvou pracovních dnů ode dne doručení písemné žádosti. 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4. Lhůta a místo plnění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ind w:left="1418" w:right="0" w:hanging="1418"/>
        <w:jc w:val="both"/>
        <w:rPr>
          <w:rFonts w:ascii="Times New Roman" w:hAnsi="Times New Roman"/>
          <w:b/>
          <w:b/>
          <w:i w:val="false"/>
          <w:i w:val="false"/>
          <w:iCs w:val="false"/>
          <w:sz w:val="22"/>
          <w:szCs w:val="22"/>
          <w:u w:val="none"/>
        </w:rPr>
      </w:pPr>
      <w:r>
        <w:rPr>
          <w:rFonts w:ascii="Times New Roman" w:hAnsi="Times New Roman"/>
          <w:b/>
          <w:i w:val="false"/>
          <w:iCs w:val="false"/>
          <w:sz w:val="22"/>
          <w:szCs w:val="22"/>
          <w:u w:val="none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120"/>
        <w:gridCol w:w="3259"/>
        <w:gridCol w:w="1985"/>
        <w:gridCol w:w="2406"/>
      </w:tblGrid>
      <w:tr>
        <w:trPr>
          <w:trHeight w:val="335" w:hRule="atLeast"/>
          <w:cantSplit w:val="true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Místem plnění zakázky:</w:t>
            </w:r>
          </w:p>
        </w:tc>
        <w:tc>
          <w:tcPr>
            <w:tcW w:w="325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Běleč 22, 391 43 Běleč</w:t>
            </w:r>
          </w:p>
        </w:tc>
        <w:tc>
          <w:tcPr>
            <w:tcW w:w="4391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okres :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CZ0317 - Tábor</w:t>
            </w:r>
          </w:p>
        </w:tc>
      </w:tr>
      <w:tr>
        <w:trPr>
          <w:trHeight w:val="104" w:hRule="atLeast"/>
        </w:trPr>
        <w:tc>
          <w:tcPr>
            <w:tcW w:w="312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Předpokládaný termín zahájení:</w:t>
            </w:r>
          </w:p>
        </w:tc>
        <w:tc>
          <w:tcPr>
            <w:tcW w:w="32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července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22</w:t>
            </w: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Termín dokončení:</w:t>
            </w:r>
          </w:p>
        </w:tc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30.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září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22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5. Požadavky na prokázání kvalifikace uchazeče pro plnění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8"/>
          <w:szCs w:val="8"/>
        </w:rPr>
      </w:pPr>
      <w:r>
        <w:rPr>
          <w:rFonts w:ascii="Times New Roman" w:hAnsi="Times New Roman"/>
          <w:i w:val="false"/>
          <w:iCs w:val="false"/>
          <w:sz w:val="8"/>
          <w:szCs w:val="8"/>
        </w:rPr>
      </w:r>
    </w:p>
    <w:p>
      <w:pPr>
        <w:pStyle w:val="Textodstavce"/>
        <w:keepNext w:val="false"/>
        <w:pageBreakBefore w:val="false"/>
        <w:widowControl w:val="false"/>
        <w:numPr>
          <w:ilvl w:val="0"/>
          <w:numId w:val="0"/>
        </w:numPr>
        <w:tabs>
          <w:tab w:val="clear" w:pos="851"/>
        </w:tabs>
        <w:suppressAutoHyphens w:val="false"/>
        <w:spacing w:lineRule="auto" w:line="240" w:before="0" w:after="0"/>
        <w:ind w:left="0" w:right="0" w:hanging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Kvalifikovaným pro plnění veřejné zakázky je dodavatel (uchazeč), který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podepíše dodá čestné prohlášení (v příloze). </w:t>
      </w:r>
      <w:r>
        <w:rPr>
          <w:rFonts w:cs="Arial" w:ascii="Times New Roman" w:hAnsi="Times New Roman"/>
          <w:bCs/>
          <w:i w:val="false"/>
          <w:iCs w:val="false"/>
          <w:sz w:val="22"/>
          <w:szCs w:val="22"/>
        </w:rPr>
        <w:t xml:space="preserve">Dodavatel/uchazeč je povinen prokázat splnění kvalifikace ve lhůtě pro podání nabídek.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Dodavatel / uchazeč, který nesplní kvalifikaci v rozsahu požadovaném zadavatelem v této výzvě bude vyloučen z účasti v 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6. Požadavky na obsah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Zkladntext2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Nabídka předložená uchazečem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musí být zpracována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 českém jazyce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požadovaném rozsahu v jednom vyhotovení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a musí obsahovat tyto dokumenty (vyplněné):</w:t>
      </w:r>
    </w:p>
    <w:p>
      <w:pPr>
        <w:pStyle w:val="Zkladntext2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 Krycí list nabídky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2. Přesná specifikace konkrétního </w:t>
      </w:r>
      <w:r>
        <w:rPr>
          <w:rFonts w:ascii="Times New Roman" w:hAnsi="Times New Roman"/>
          <w:i w:val="false"/>
          <w:iCs w:val="false"/>
          <w:sz w:val="22"/>
          <w:szCs w:val="22"/>
        </w:rPr>
        <w:t>dopravního automobilu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 Čestné prohlášení o prokázání kvalifikačních předpokladů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4. Návrh kupní smlouvy (vzor v příloze)</w:t>
      </w:r>
    </w:p>
    <w:p>
      <w:pPr>
        <w:pStyle w:val="NormalJustified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tabs>
          <w:tab w:val="clear" w:pos="708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Žádáme Vás, abyste k nabídce nepředkládali žádné další dokumenty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</w:t>
      </w:r>
    </w:p>
    <w:p>
      <w:pPr>
        <w:pStyle w:val="Prosttext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Prosttext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  <w:t xml:space="preserve">Z důvodu právní jistoty zadavatel uchazečům doporučuje, aby všechny listy nabídky včetně příloh byly řádně očíslovány vzestupnou, nepřerušovanou číselnou řadou a zabezpečeny proti manipulaci.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7. Dodatečné informace k zadávacím podmínkám a prohlídka místa plnění: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Dodavatel (uchazeč) je oprávněn po zadavateli požadovat písemně dodatečné informace k zadávacím podmínkám. Písemná žádost musí být zadavateli doručena nejpozději do 3 pracovních dnů před uplynutím lhůty pro podání nabídek. Zadavatel odešle dodatečné informace k zadávacím podmínkám, případně související dokumenty, nejpozději do 2 pracovních dnů po doručení žádosti. Dodatečné informace, včetně přesného znění požadavku odešle zadavatel současně všem dodavatelům, kteří požádali o poskytnutí zadávací dokumentace nebo kterým byla zadávací dokumentace poskytnuta.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8. Zadávací lhůta, po kterou je uchazeč svoji nabídkou vázán: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Uchazeč je svou nabídkou vázán po celou zadávací lhůtu a zadávací lhůta je stanovena do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30.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červ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ence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ind w:left="1155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Požadavky na způsob zpracování nabídkové ceny: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Uchazeč stanoví nabídkovou cenu za celý předmět plnění vztahující se k předmětu zakázky, a to na základě ocenění 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>dodávky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Nabídková cena musí obsahovat veškeré nutné náklady k realizaci předmětu veřejné zakázky včetně souvisejících nákla</w:t>
        <w:softHyphen/>
        <w:t>dů uvedených v čl. 2 této Výzvy.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 w:eastAsia="MS Mincho;MS Gothic" w:cs="Arial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Nabídková cena bude uvedena v 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Kč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v členění: cena bez daně z přidané hodnoty, daň z přidané hodnoty a celková nabídková cena s daní z přidané hodnoty. Celková nabídková cena v této skladbě bude uvedena na krycím listu nabídky. Nabídková cena bude zpracována v souladu se  zadávací dokumentací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bude stanovena jako cena nejvýše přípustná.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10. Platební a obchodní podmínky: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Obchodní a platební podmínky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jsou specifikovány v přiloženém závazném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návrhu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mlouvy.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11. Požadavky na varianty nabídky a na subdodavatelský systém: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Zadavatel nepřipouští varianty nabídky. Zhotovitel není oprávněn postoupit práva a povinnosti, závazky a pohledávky ze smlouvy o dílo třetím osobám, bez písemného souhlasu objednatele. </w:t>
      </w:r>
      <w:r>
        <w:rPr>
          <w:rFonts w:ascii="Times New Roman" w:hAnsi="Times New Roman"/>
          <w:i w:val="false"/>
          <w:iCs w:val="false"/>
          <w:sz w:val="22"/>
          <w:szCs w:val="22"/>
        </w:rPr>
        <w:t>Za subdodávku je pro tento účel považována realizace dílčích zakázek jinými subjekty pro vítěze zadávacího řízení. Uchazeč ve své  nabídce uvede části veřejné zakázky, které má v úmyslu zadat jednomu či více subdodavatelům včetně identifikačních údajů těchto subdodavatelů.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tabs>
                <w:tab w:val="clear" w:pos="708"/>
                <w:tab w:val="left" w:pos="3084" w:leader="none"/>
                <w:tab w:val="center" w:pos="4847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12. Způsob hodnocení nabídek: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Základním hodnotícím kritériem pro zadání veřejné zakázky je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nejnižší nabídková cena (v Kč)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včetně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DPH.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Hodnotící komise provede hodnocení nabídek podle výše nabídkových cen (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včetně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 DPH) tak, že sestaví pořadí uchazečů od prvého k poslednímu s ohledem na výši nabídkových cen. Nejvhodnější nabídkou je nabídka s nejnižší nabídkovou cenu.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13. Lhůta pro podání nabídky a podávání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Nabídky se podávají písemně v listinné podobě ve lhůtě pro podání nabídek,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která je zadavatelem stanovena do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i w:val="false"/>
          <w:iCs w:val="false"/>
          <w:sz w:val="32"/>
          <w:szCs w:val="32"/>
        </w:rPr>
        <w:t>30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.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června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22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do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7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:00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hodin</w:t>
      </w:r>
    </w:p>
    <w:p>
      <w:pPr>
        <w:pStyle w:val="Normal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lze doručit osobně (v době úředních hodin zadavatele –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pondělí 08:00–12:00, ve čtvrtek 13:00–17:00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), prostřednictvím osoby, která provádí přepravu zásilek (kurýrní služba), prostřednictvím držitele poštovní licence podle zvláštního právního předpisu nebo jiným způsobem. Nabídka v listinné podobě musí být podána v řádně uzavřené obálce označené názvem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>Dopravní automobil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a na obálce musí být uvedena adresa uchazeče. Uzavřením obálky se pro účely této výzvy rozumí opatření obálky na uzavření podpisem a razítkem uchazeče.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Na nabídku podanou po uplynutí lhůty pro podání nabídek se bude pohlížet, jako by nebyla podána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 Nabídky podávané elektronickou poštou jsou nepřípustné.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Uchazeč, který podal nabídku v tomto zadávacím řízení, nesmí být současně subdodavatelem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jehož prostřednictvím jiný dodavatel v tomto zadávacím řízení prokazuje kvalifikaci. Pokud uchazeč podá více nabídek samostatně nebo společně s dalšími uchazeči, nebo je subdodavatelem, jehož prostřednictvím jiný uchazeč v tomto zadávacím řízení prokazuje kvalifikaci, zadavatel všechny nabídky podané takovým uchazečem vyřadí. Uchazeče, jehož nabídka byla vyřazena, zadavatel bezodkladně vyloučí z účasti v 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14. Doba a místo otevírání obálek s nabídkami: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Otevírání obálek s nabídkami se uskuteční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ve čtvrtek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 června 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od 19: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45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zasedací místnosti zadavatele.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15. Další práva a podmínky vyhrazené zadavatelem: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právo zrušit zadávací řízení kdykoliv bez udání důvodu. 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Uchazeč nemá právo na náhradu nákladů spojených s účastí v zadávacím řízení. Nabídky se uchazečům nevracejí a zůstávají u zadavatele jako součást dokumentace o zadání zakázky.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16. Přílohy: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nabídky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Čestné prohlášení o prokázání kvalifikačních předpokladů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Vzor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i w:val="false"/>
          <w:iCs w:val="false"/>
          <w:sz w:val="22"/>
          <w:szCs w:val="22"/>
        </w:rPr>
        <w:t>mlouvy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Schválené Technické podmínky pro dopravní automobil</w:t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 Bělči dne: 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června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i w:val="false"/>
          <w:iCs w:val="false"/>
          <w:sz w:val="22"/>
          <w:szCs w:val="22"/>
        </w:rPr>
        <w:t>22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…………………………………………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Stanislav Šmejkal,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starosta obce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Příloha č. 1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Běleč – d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opravní automobil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Krycí list nabídky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14"/>
        <w:gridCol w:w="6258"/>
      </w:tblGrid>
      <w:tr>
        <w:trPr/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Sídlo/místo podnikání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Osoba oprávněná jednat jménem uchazeče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Kontaktní osoba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Telefon, email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Bankovní spojení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Nabídková cena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49"/>
        <w:gridCol w:w="2835"/>
        <w:gridCol w:w="2265"/>
        <w:gridCol w:w="3423"/>
      </w:tblGrid>
      <w:tr>
        <w:trPr/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bez DPH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včetně DPH</w:t>
            </w:r>
          </w:p>
        </w:tc>
      </w:tr>
      <w:tr>
        <w:trPr/>
        <w:tc>
          <w:tcPr>
            <w:tcW w:w="224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3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 místopřísežně, že jako účastník o předmětnou zakázku jsem vázán celým obsahem přiložené nabídky, a to po celou dobu běhu zadávací lhůty. Dále prohlašuji, že jsem se v plném rozsahu seznámil se zadávací dokumentací a zadávacími podmínkami, že jsem si před podáním nabídky vyjasnil veškerá sporná ustanovení nebo technické nejasnosti a že s podmínkami zadání a zadávací dokumentací souhlasím a respektuji je.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Dále prohlašuji místopřísežně, že: veškeré údaje a informace, které jsem ve své nabídce uvedl jako účastník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předmětnou zakázku, jsou pravdivé a odpovídají skutečnosti; veškeré doklady a dokumenty, kterými jako účastník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předmětnou zakázku prokazuji svoji kvalifikaci, jsou věrohodné, pravdivé a odpovídají skutečnosti. Jsem si vědom skutečnosti, že uvedením nepravdivých údajů, nebo předložením falešných dokladů, či dokumentů v nabídce bych se mohl dopustit správního deliktu dodavatele.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Prohlašuji místopřísežně, že nabízený dopravní automobil splňuje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  <w:u w:val="single"/>
        </w:rPr>
        <w:t>bez výjimky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veškeré technické podmínky uvedené v příloze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zadávací dokumentace.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Souhlasím se zveřejněním posouzení splnění kvalifikačních předpokladů, hodnocení nabídek, uzavřené smlouvy a všech jejích dodatků zadavatelem veřejné zakázky.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keepNext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Běleč – d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opravní automobil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dodávku zboží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Čestné prohlášení 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prokázání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kvalifikačních předpokladů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Uchazeč/</w:t>
      </w:r>
      <w:r>
        <w:rPr>
          <w:rFonts w:ascii="Times New Roman" w:hAnsi="Times New Roman"/>
          <w:i w:val="false"/>
          <w:iCs w:val="false"/>
          <w:sz w:val="22"/>
          <w:szCs w:val="22"/>
        </w:rPr>
        <w:t>dodavatel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3"/>
        <w:gridCol w:w="6803"/>
        <w:gridCol w:w="1134"/>
        <w:gridCol w:w="1702"/>
      </w:tblGrid>
      <w:tr>
        <w:trPr/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splňuje základní způsobilost dle § 74 zákona 134/2016 o zadávání veřejných zakázek, v platném znění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ascii="Times New Roman" w:hAnsi="Times New Roman"/>
          <w:i w:val="false"/>
          <w:iCs w:val="false"/>
          <w:sz w:val="22"/>
          <w:szCs w:val="22"/>
        </w:rPr>
        <w:t>prohlašuje, že: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1: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 nebyl v zemi svého sídla v posledních 5 letech před zahájením zadávacího řízení pravomocně odsouzen pro trestný čin uvedený v příloze č. 3 k tomuto zákonu nebo obdobný trestný čin podle právního řádu země sídla dodavatele; k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zahlazeným odsouzením se nepřihlíží,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 nemá v České republice nebo v zemi svého sídla v evidenci daní zachycen splatný daňový nedoplatek,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 nemá v České republice nebo v zemi svého sídla splatný nedoplatek na pojistném nebo na penále na veřejné zdravotní pojištění,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d) nemá v České republice nebo v zemi svého sídla splatný nedoplatek na pojistném nebo na penále na sociální zabezpečení a příspěvku na státní politiku zaměstnanosti,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e) není v likvidaci, proti němuž nebylo vydáno rozhodnutí o úpadku, vůči němuž nebyla nařízena nucená správa podle jiného právního předpisu nebo v obdobné situaci podle právního řádu země sídla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2: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Je-li dodavatelem právnická osoba, musí podmínku podle odsta</w:t>
      </w:r>
      <w:r>
        <w:rPr>
          <w:rFonts w:ascii="Times New Roman" w:hAnsi="Times New Roman"/>
          <w:i w:val="false"/>
          <w:iCs w:val="false"/>
          <w:sz w:val="22"/>
          <w:szCs w:val="22"/>
        </w:rPr>
        <w:t>vce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1 písm. a) splňovat tato právnická osoba a zároveň každý člen statutárního orgánu. Je-li členem statutárního orgánu dodavatele právnická osoba, musí podmínku podle odstavce 1 písm. a) splňovat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tato právnická osoba,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každý člen statutárního orgánu této právnické osoby a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osoba zastupující tuto právnickou osobu v statutárním orgánu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3: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Účastní-li se zadávacího řízení pobočka závodu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 zahraniční právnické osoby, musí podmínku podle odstavce 1 písm. a) splňovat tato právnická osoba a vedoucí pobočky závodu,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 české právnické osoby, musí podmínku podle odstavce 1 písm. a) splňovat osoby uvedené v odstavci 2 a vedoucí pobočky závodu.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4: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P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odmínku podle odstavce 1 písm. a) musí splňovat také jiné osoby, než které jsou uvedeny v odstavci 2;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jedná se </w:t>
      </w:r>
      <w:r>
        <w:rPr>
          <w:rFonts w:ascii="Times New Roman" w:hAnsi="Times New Roman"/>
          <w:i w:val="false"/>
          <w:iCs w:val="false"/>
          <w:sz w:val="22"/>
          <w:szCs w:val="22"/>
        </w:rPr>
        <w:t>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osoby, které mají v rámci struktury dodavatele práva spojená se zastupováním, rozhodováním nebo kontrolou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 w:before="0" w:after="0"/>
        <w:ind w:left="210" w:right="0" w:hanging="21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jc w:val="right"/>
        <w:rPr>
          <w:rFonts w:ascii="Times New Roman" w:hAnsi="Times New Roman" w:cs="Tahoma"/>
          <w:b w:val="false"/>
          <w:b w:val="false"/>
          <w:b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>Příloha č. 3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32"/>
          <w:szCs w:val="32"/>
          <w:u w:val="single"/>
        </w:rPr>
      </w:pPr>
      <w:r>
        <w:rPr>
          <w:rFonts w:cs="Tahoma" w:ascii="Times New Roman" w:hAnsi="Times New Roman"/>
          <w:b/>
          <w:sz w:val="32"/>
          <w:szCs w:val="32"/>
          <w:u w:val="single"/>
        </w:rPr>
        <w:t>KUPNÍ SMLOUVA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i/>
          <w:i/>
          <w:sz w:val="22"/>
          <w:szCs w:val="22"/>
        </w:rPr>
      </w:pPr>
      <w:r>
        <w:rPr>
          <w:rFonts w:cs="Tahoma" w:ascii="Times New Roman" w:hAnsi="Times New Roman"/>
          <w:b/>
          <w:i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A. SMLUVNÍ STRANY: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1. Prodávající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>Název: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  <w:shd w:fill="auto" w:val="clear"/>
        </w:rPr>
      </w:pP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 xml:space="preserve">Sídlo: 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  <w:shd w:fill="auto" w:val="clear"/>
        </w:rPr>
      </w:pP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 xml:space="preserve">IČ, </w:t>
      </w: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>DIČ</w:t>
      </w: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 xml:space="preserve">: 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  <w:shd w:fill="auto" w:val="clear"/>
        </w:rPr>
      </w:pP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>Osoba oprávněná jednat:</w:t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jc w:val="both"/>
        <w:rPr>
          <w:rFonts w:ascii="Times New Roman" w:hAnsi="Times New Roman"/>
          <w:sz w:val="22"/>
          <w:szCs w:val="22"/>
          <w:shd w:fill="auto" w:val="clear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T</w:t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el. kontakt, </w:t>
      </w:r>
      <w:r>
        <w:rPr>
          <w:rFonts w:cs="Tahoma" w:ascii="Times New Roman" w:hAnsi="Times New Roman"/>
          <w:sz w:val="22"/>
          <w:szCs w:val="22"/>
          <w:shd w:fill="auto" w:val="clear"/>
        </w:rPr>
        <w:t>e-mail</w:t>
      </w:r>
      <w:r>
        <w:rPr>
          <w:rFonts w:cs="Tahoma" w:ascii="Times New Roman" w:hAnsi="Times New Roman"/>
          <w:sz w:val="22"/>
          <w:szCs w:val="22"/>
          <w:shd w:fill="auto" w:val="clear"/>
        </w:rPr>
        <w:t>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  <w:shd w:fill="auto" w:val="clear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B</w:t>
      </w:r>
      <w:r>
        <w:rPr>
          <w:rFonts w:cs="Tahoma" w:ascii="Times New Roman" w:hAnsi="Times New Roman"/>
          <w:sz w:val="22"/>
          <w:szCs w:val="22"/>
          <w:shd w:fill="auto" w:val="clear"/>
        </w:rPr>
        <w:t>ankovní spojení: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2. Kupující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Název: </w:t>
        <w:tab/>
        <w:tab/>
        <w:tab/>
      </w:r>
      <w:r>
        <w:rPr>
          <w:rFonts w:cs="Tahoma" w:ascii="Times New Roman" w:hAnsi="Times New Roman"/>
          <w:b/>
          <w:sz w:val="22"/>
          <w:szCs w:val="22"/>
        </w:rPr>
        <w:t>Obec Běleč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Sídlo:</w:t>
      </w:r>
      <w:r>
        <w:rPr>
          <w:rFonts w:cs="Tahoma" w:ascii="Times New Roman" w:hAnsi="Times New Roman"/>
          <w:bCs/>
          <w:color w:val="000000"/>
          <w:sz w:val="22"/>
          <w:szCs w:val="22"/>
        </w:rPr>
        <w:tab/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Běleč 22, 391 43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IČ, DIČ:</w:t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00582506, CZ00582506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 xml:space="preserve">Osoba oprávněná jednat: </w:t>
        <w:tab/>
        <w:t>Stanislav Šmejkal, starosta obce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T</w:t>
      </w:r>
      <w:r>
        <w:rPr>
          <w:rFonts w:cs="Tahoma" w:ascii="Times New Roman" w:hAnsi="Times New Roman"/>
          <w:sz w:val="22"/>
          <w:szCs w:val="22"/>
        </w:rPr>
        <w:t xml:space="preserve">el. kontakt, </w:t>
      </w:r>
      <w:r>
        <w:rPr>
          <w:rFonts w:cs="Tahoma" w:ascii="Times New Roman" w:hAnsi="Times New Roman"/>
          <w:sz w:val="22"/>
          <w:szCs w:val="22"/>
        </w:rPr>
        <w:t>e-mail</w:t>
      </w:r>
      <w:r>
        <w:rPr>
          <w:rFonts w:cs="Tahoma" w:ascii="Times New Roman" w:hAnsi="Times New Roman"/>
          <w:sz w:val="22"/>
          <w:szCs w:val="22"/>
        </w:rPr>
        <w:t>:</w:t>
        <w:tab/>
        <w:tab/>
        <w:t>+420 724 189 517, info@obecbelec.cz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B</w:t>
      </w:r>
      <w:r>
        <w:rPr>
          <w:rFonts w:cs="Tahoma" w:ascii="Times New Roman" w:hAnsi="Times New Roman"/>
          <w:sz w:val="22"/>
          <w:szCs w:val="22"/>
        </w:rPr>
        <w:t>ankovní spojení:</w:t>
        <w:tab/>
        <w:tab/>
        <w:t>24528301/0100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  <w:u w:val="none"/>
        </w:rPr>
        <w:t>B. PŘEDMĚT A CENA PLNĚNÍ: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</w:r>
    </w:p>
    <w:p>
      <w:pPr>
        <w:pStyle w:val="NormalJustified"/>
        <w:keepNext w:val="false"/>
        <w:pageBreakBefore w:val="false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1. </w:t>
        <w:tab/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 plnění veřejné zakázky je </w:t>
      </w:r>
      <w:r>
        <w:rPr>
          <w:rFonts w:ascii="Times New Roman" w:hAnsi="Times New Roman"/>
          <w:i w:val="false"/>
          <w:iCs w:val="false"/>
          <w:sz w:val="22"/>
          <w:szCs w:val="22"/>
        </w:rPr>
        <w:t>úplatný převod vlastnického práva k předmětu koupě movité věci (dopravnímu automobilu) uvedenému v odst. 2 a odst. 3. Tato smlouva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se uzavírá na základě výsledku zadávacího řízení k veřejné zakázce s názvem „</w:t>
      </w:r>
      <w:r>
        <w:rPr>
          <w:rFonts w:ascii="Times New Roman" w:hAnsi="Times New Roman"/>
          <w:i w:val="false"/>
          <w:iCs w:val="false"/>
          <w:sz w:val="22"/>
          <w:szCs w:val="22"/>
        </w:rPr>
        <w:t>Běleč – dopravní automobil</w:t>
      </w:r>
      <w:r>
        <w:rPr>
          <w:rFonts w:ascii="Times New Roman" w:hAnsi="Times New Roman"/>
          <w:i w:val="false"/>
          <w:iCs w:val="false"/>
          <w:sz w:val="22"/>
          <w:szCs w:val="22"/>
        </w:rPr>
        <w:t>“, která byla zadána mimo režim zákona č. 134/2016., o zadávání veřejných zakázek.</w:t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2. </w:t>
        <w:tab/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Předmětem koupě je 1 ks nového dopravního automobilu v provedení „Z“ (základním), kategorie podvozku 1 „pro městský provoz“, s celkovou hmotností do 3500 kg dle požadavků uvedených v příloze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této smlouvy: Technické podmínky pro dopravní automobil.</w:t>
      </w:r>
    </w:p>
    <w:p>
      <w:pPr>
        <w:pStyle w:val="NormalJustified"/>
        <w:keepNext w:val="false"/>
        <w:pageBreakBefore w:val="false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</w:t>
        <w:tab/>
      </w:r>
      <w:r>
        <w:rPr>
          <w:rFonts w:ascii="Times New Roman" w:hAnsi="Times New Roman"/>
          <w:i w:val="false"/>
          <w:iCs w:val="false"/>
          <w:sz w:val="22"/>
          <w:szCs w:val="22"/>
        </w:rPr>
        <w:t>Dopravní automobil musí splňovat požadavky předpisů pro provoz vozidel na pozemních komunikacích v ČR, požadavky stanovené vyhláškou č. 53/2010 Sb., kterou se mění vyhláška č. 35/2007 Sb., o technických podmínkách požární techniky, a to doložením prohlášení o shodě výrobku, požadavky stanovené vyhláškou č. 247/2001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organizaci a činnosti jednotek požární ochrany, ve znění vyhlášky č. 226/2005 Sb.</w:t>
      </w:r>
    </w:p>
    <w:p>
      <w:pPr>
        <w:pStyle w:val="NormalJustified"/>
        <w:keepNext w:val="false"/>
        <w:pageBreakBefore w:val="false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4.</w:t>
        <w:tab/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Dopravní automobil </w:t>
      </w:r>
      <w:r>
        <w:rPr>
          <w:rFonts w:ascii="Times New Roman" w:hAnsi="Times New Roman"/>
          <w:i w:val="false"/>
          <w:iCs w:val="false"/>
          <w:sz w:val="22"/>
          <w:szCs w:val="22"/>
        </w:rPr>
        <w:t>(předmět koupě)</w:t>
      </w:r>
      <w:r>
        <w:rPr>
          <w:rFonts w:ascii="Times New Roman" w:hAnsi="Times New Roman"/>
          <w:i w:val="false"/>
          <w:iCs w:val="false"/>
          <w:sz w:val="22"/>
          <w:szCs w:val="22"/>
        </w:rPr>
        <w:t>:</w:t>
      </w:r>
    </w:p>
    <w:p>
      <w:pPr>
        <w:pStyle w:val="NormalJustified"/>
        <w:keepNext w:val="false"/>
        <w:pageBreakBefore w:val="false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2"/>
          <w:szCs w:val="12"/>
          <w:u w:val="none"/>
        </w:rPr>
      </w:r>
    </w:p>
    <w:tbl>
      <w:tblPr>
        <w:tblW w:w="10347" w:type="dxa"/>
        <w:jc w:val="left"/>
        <w:tblInd w:w="425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851"/>
        <w:gridCol w:w="2551"/>
        <w:gridCol w:w="850"/>
        <w:gridCol w:w="2551"/>
        <w:gridCol w:w="850"/>
        <w:gridCol w:w="2694"/>
      </w:tblGrid>
      <w:tr>
        <w:trPr>
          <w:trHeight w:val="733" w:hRule="atLeast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jc w:val="center"/>
              <w:textAlignment w:val="center"/>
              <w:rPr/>
            </w:pPr>
            <w:r>
              <w:rPr/>
              <w:t>Název: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jc w:val="both"/>
              <w:textAlignment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jc w:val="center"/>
              <w:textAlignment w:val="center"/>
              <w:rPr/>
            </w:pPr>
            <w:r>
              <w:rPr/>
              <w:t>Typ: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jc w:val="both"/>
              <w:textAlignment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jc w:val="center"/>
              <w:textAlignment w:val="center"/>
              <w:rPr/>
            </w:pPr>
            <w:r>
              <w:rPr/>
              <w:t>Model: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jc w:val="both"/>
              <w:textAlignment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Justified"/>
        <w:keepNext w:val="false"/>
        <w:pageBreakBefore w:val="false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2"/>
          <w:szCs w:val="12"/>
          <w:u w:val="none"/>
        </w:rPr>
      </w:r>
    </w:p>
    <w:p>
      <w:pPr>
        <w:pStyle w:val="NormalJustified"/>
        <w:keepNext w:val="false"/>
        <w:pageBreakBefore w:val="false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5.</w:t>
        <w:tab/>
        <w:t>Cena plnění:</w:t>
      </w:r>
    </w:p>
    <w:p>
      <w:pPr>
        <w:pStyle w:val="NormalJustified"/>
        <w:keepNext w:val="false"/>
        <w:pageBreakBefore w:val="false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2"/>
          <w:szCs w:val="12"/>
          <w:u w:val="none"/>
        </w:rPr>
      </w:r>
    </w:p>
    <w:tbl>
      <w:tblPr>
        <w:tblW w:w="10347" w:type="dxa"/>
        <w:jc w:val="left"/>
        <w:tblInd w:w="4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58"/>
        <w:gridCol w:w="1984"/>
        <w:gridCol w:w="1417"/>
        <w:gridCol w:w="1701"/>
        <w:gridCol w:w="1701"/>
        <w:gridCol w:w="1986"/>
      </w:tblGrid>
      <w:tr>
        <w:trPr/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bez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21%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včetně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: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</w:r>
          </w:p>
        </w:tc>
      </w:tr>
    </w:tbl>
    <w:p>
      <w:pPr>
        <w:pStyle w:val="NormalJustified"/>
        <w:keepNext w:val="false"/>
        <w:pageBreakBefore w:val="false"/>
        <w:widowControl w:val="false"/>
        <w:tabs>
          <w:tab w:val="clear" w:pos="708"/>
          <w:tab w:val="left" w:pos="400" w:leader="none"/>
        </w:tabs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12"/>
          <w:szCs w:val="12"/>
          <w:u w:val="none"/>
          <w:lang w:eastAsia="cs-CZ"/>
        </w:rPr>
      </w:r>
    </w:p>
    <w:p>
      <w:pPr>
        <w:pStyle w:val="Normal"/>
        <w:widowControl w:val="false"/>
        <w:tabs>
          <w:tab w:val="clear" w:pos="708"/>
          <w:tab w:val="left" w:pos="400" w:leader="none"/>
        </w:tabs>
        <w:suppressAutoHyphens w:val="false"/>
        <w:spacing w:lineRule="auto" w:line="24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ab/>
        <w:t>Výše uvedená cena za soubor strojů dle technické specifikace přiložené k této smlouvě je nepřekročitelná</w:t>
      </w:r>
    </w:p>
    <w:p>
      <w:pPr>
        <w:pStyle w:val="Normal"/>
        <w:widowControl w:val="false"/>
        <w:tabs>
          <w:tab w:val="clear" w:pos="708"/>
          <w:tab w:val="left" w:pos="400" w:leader="none"/>
        </w:tabs>
        <w:suppressAutoHyphens w:val="false"/>
        <w:spacing w:lineRule="auto" w:line="24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ab/>
        <w:t xml:space="preserve">Kupní cena </w:t>
      </w: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zahrnuje</w:t>
      </w: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 xml:space="preserve"> předání dopravního automobilu, </w:t>
      </w: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 xml:space="preserve">clo, </w:t>
      </w: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katalog náhradních dílů, zaškolení a předprodejní servis.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/>
          <w:b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/>
          <w:i w:val="false"/>
          <w:iCs w:val="false"/>
          <w:sz w:val="22"/>
          <w:szCs w:val="22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  <w:t>C. PLATEBNÍ PODMÍNKY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 xml:space="preserve">Platby budou probíhat výhradně v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korunách českých (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Kč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)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a rovněž veškeré cenové údaje budou v této měně.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2.</w:t>
      </w:r>
      <w:r>
        <w:rPr>
          <w:rFonts w:cs="Tahoma" w:ascii="Times New Roman" w:hAnsi="Times New Roman"/>
          <w:b/>
          <w:i w:val="false"/>
          <w:iCs w:val="false"/>
          <w:sz w:val="22"/>
          <w:szCs w:val="22"/>
        </w:rPr>
        <w:t xml:space="preserve"> 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Den zaplacení kupní ceny, respektive jednotlivé splátky je den jejího připsání na účet prodávajícího.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3.</w:t>
        <w:tab/>
        <w:t>Kupující nebude poskytovat zálohy.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4.</w:t>
        <w:tab/>
        <w:t xml:space="preserve">Prodávající vystaví fakturu až poté, co bude kupujícímu dodán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kompletní stroj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5.</w:t>
        <w:tab/>
        <w:t>Dojde-li v mezidobí ke změně daňových, finančních nebo jiných právních předpisů, podle kterých byla smlouva uz</w:t>
      </w:r>
      <w:r>
        <w:rPr>
          <w:rFonts w:cs="Tahoma" w:ascii="Times New Roman" w:hAnsi="Times New Roman"/>
          <w:sz w:val="22"/>
          <w:szCs w:val="22"/>
        </w:rPr>
        <w:t>avřena, je prodávající oprávněn promítnout tuto změnu do ceny díla (například změna sazby DPH).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Kupní cena bud</w:t>
      </w:r>
      <w:r>
        <w:rPr>
          <w:rFonts w:cs="Tahoma" w:ascii="Times New Roman" w:hAnsi="Times New Roman"/>
          <w:sz w:val="22"/>
          <w:szCs w:val="22"/>
        </w:rPr>
        <w:t>e</w:t>
      </w:r>
      <w:r>
        <w:rPr>
          <w:rFonts w:cs="Tahoma" w:ascii="Times New Roman" w:hAnsi="Times New Roman"/>
          <w:sz w:val="22"/>
          <w:szCs w:val="22"/>
        </w:rPr>
        <w:t xml:space="preserve"> fakturován</w:t>
      </w:r>
      <w:r>
        <w:rPr>
          <w:rFonts w:cs="Tahoma" w:ascii="Times New Roman" w:hAnsi="Times New Roman"/>
          <w:sz w:val="22"/>
          <w:szCs w:val="22"/>
        </w:rPr>
        <w:t>a</w:t>
      </w:r>
      <w:r>
        <w:rPr>
          <w:rFonts w:cs="Tahoma" w:ascii="Times New Roman" w:hAnsi="Times New Roman"/>
          <w:sz w:val="22"/>
          <w:szCs w:val="22"/>
        </w:rPr>
        <w:t>. Splatnost faktury bude vyznačena na daňovém dokladu.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Splatnost faktur je stanovena na 30 dní ode dne doručení.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Daňový doklad bude vystaven tak, aby splňoval všechny náležitosti daňového dokladu podle zákona o </w:t>
      </w:r>
      <w:r>
        <w:rPr>
          <w:rFonts w:cs="Tahoma" w:ascii="Times New Roman" w:hAnsi="Times New Roman"/>
          <w:sz w:val="22"/>
          <w:szCs w:val="22"/>
        </w:rPr>
        <w:t>DPH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9</w:t>
      </w:r>
      <w:r>
        <w:rPr>
          <w:rFonts w:cs="Tahoma" w:ascii="Times New Roman" w:hAnsi="Times New Roman"/>
          <w:sz w:val="22"/>
          <w:szCs w:val="22"/>
        </w:rPr>
        <w:t>.</w:t>
        <w:tab/>
        <w:t>Na daňovém dokladu bude uvedeno výrobní číslo, či jiný identifikační údaj, identifikující konkrétní dodávaný stroj.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b w:val="false"/>
          <w:b w:val="false"/>
          <w:bCs w:val="false"/>
          <w:i/>
          <w:i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/>
          <w:sz w:val="22"/>
          <w:szCs w:val="22"/>
          <w:u w:val="none"/>
        </w:rPr>
      </w:r>
    </w:p>
    <w:p>
      <w:pPr>
        <w:pStyle w:val="Normal"/>
        <w:keepNext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D. DODÁNÍ ZBOŽÍ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 xml:space="preserve">Místem dodání zboží, k němuž je prodávající zavázán, je </w:t>
      </w:r>
      <w:r>
        <w:rPr>
          <w:rFonts w:cs="Tahoma" w:ascii="Times New Roman" w:hAnsi="Times New Roman"/>
          <w:sz w:val="22"/>
          <w:szCs w:val="22"/>
        </w:rPr>
        <w:t>sídlo</w:t>
      </w:r>
      <w:r>
        <w:rPr>
          <w:rFonts w:cs="Tahoma" w:ascii="Times New Roman" w:hAnsi="Times New Roman"/>
          <w:sz w:val="22"/>
          <w:szCs w:val="22"/>
        </w:rPr>
        <w:t xml:space="preserve"> kupujícího v obci Běleč, Běleč </w:t>
      </w:r>
      <w:r>
        <w:rPr>
          <w:rFonts w:cs="Tahoma" w:ascii="Times New Roman" w:hAnsi="Times New Roman"/>
          <w:sz w:val="22"/>
          <w:szCs w:val="22"/>
        </w:rPr>
        <w:t>22</w:t>
      </w:r>
      <w:r>
        <w:rPr>
          <w:rFonts w:cs="Tahoma" w:ascii="Times New Roman" w:hAnsi="Times New Roman"/>
          <w:sz w:val="22"/>
          <w:szCs w:val="22"/>
        </w:rPr>
        <w:t>, 391 43 Běleč.</w:t>
      </w:r>
    </w:p>
    <w:p>
      <w:pPr>
        <w:pStyle w:val="Normal"/>
        <w:keepNext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>Dodávka je splněna dnem převzetí zboží kupujícímu v místě dodání.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Předmět zakázky bude kupujícímu dodán do </w:t>
      </w:r>
      <w:r>
        <w:rPr>
          <w:rFonts w:cs="Tahoma" w:ascii="Times New Roman" w:hAnsi="Times New Roman"/>
          <w:b/>
          <w:sz w:val="22"/>
          <w:szCs w:val="22"/>
        </w:rPr>
        <w:t>30. září 20</w:t>
      </w:r>
      <w:r>
        <w:rPr>
          <w:rFonts w:cs="Tahoma" w:ascii="Times New Roman" w:hAnsi="Times New Roman"/>
          <w:b/>
          <w:sz w:val="22"/>
          <w:szCs w:val="22"/>
        </w:rPr>
        <w:t>22</w:t>
      </w:r>
      <w:r>
        <w:rPr>
          <w:rFonts w:cs="Tahoma" w:ascii="Times New Roman" w:hAnsi="Times New Roman"/>
          <w:sz w:val="22"/>
          <w:szCs w:val="22"/>
        </w:rPr>
        <w:t xml:space="preserve">. Předávající je oprávněn plnit i před </w:t>
      </w:r>
      <w:r>
        <w:rPr>
          <w:rFonts w:cs="Tahoma" w:ascii="Times New Roman" w:hAnsi="Times New Roman"/>
          <w:sz w:val="22"/>
          <w:szCs w:val="22"/>
        </w:rPr>
        <w:t>tímto</w:t>
      </w:r>
      <w:r>
        <w:rPr>
          <w:rFonts w:cs="Tahoma" w:ascii="Times New Roman" w:hAnsi="Times New Roman"/>
          <w:sz w:val="22"/>
          <w:szCs w:val="22"/>
        </w:rPr>
        <w:t xml:space="preserve"> termínem.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Dodavatel je povinen minimálně </w:t>
      </w:r>
      <w:r>
        <w:rPr>
          <w:rFonts w:cs="Tahoma" w:ascii="Times New Roman" w:hAnsi="Times New Roman"/>
          <w:sz w:val="22"/>
          <w:szCs w:val="22"/>
        </w:rPr>
        <w:t>5</w:t>
      </w:r>
      <w:r>
        <w:rPr>
          <w:rFonts w:cs="Tahoma" w:ascii="Times New Roman" w:hAnsi="Times New Roman"/>
          <w:sz w:val="22"/>
          <w:szCs w:val="22"/>
        </w:rPr>
        <w:t xml:space="preserve"> pracovní</w:t>
      </w:r>
      <w:r>
        <w:rPr>
          <w:rFonts w:cs="Tahoma" w:ascii="Times New Roman" w:hAnsi="Times New Roman"/>
          <w:sz w:val="22"/>
          <w:szCs w:val="22"/>
        </w:rPr>
        <w:t>ch</w:t>
      </w:r>
      <w:r>
        <w:rPr>
          <w:rFonts w:cs="Tahoma" w:ascii="Times New Roman" w:hAnsi="Times New Roman"/>
          <w:sz w:val="22"/>
          <w:szCs w:val="22"/>
        </w:rPr>
        <w:t xml:space="preserve"> dn</w:t>
      </w:r>
      <w:r>
        <w:rPr>
          <w:rFonts w:cs="Tahoma" w:ascii="Times New Roman" w:hAnsi="Times New Roman"/>
          <w:sz w:val="22"/>
          <w:szCs w:val="22"/>
        </w:rPr>
        <w:t>ů</w:t>
      </w:r>
      <w:r>
        <w:rPr>
          <w:rFonts w:cs="Tahoma" w:ascii="Times New Roman" w:hAnsi="Times New Roman"/>
          <w:sz w:val="22"/>
          <w:szCs w:val="22"/>
        </w:rPr>
        <w:t xml:space="preserve"> před provedením dodávky informovat zadavatele o dodání </w:t>
      </w:r>
      <w:r>
        <w:rPr>
          <w:rFonts w:cs="Tahoma" w:ascii="Times New Roman" w:hAnsi="Times New Roman"/>
          <w:sz w:val="22"/>
          <w:szCs w:val="22"/>
        </w:rPr>
        <w:t>předmětu koupě</w:t>
      </w:r>
      <w:r>
        <w:rPr>
          <w:rFonts w:cs="Tahoma" w:ascii="Times New Roman" w:hAnsi="Times New Roman"/>
          <w:sz w:val="22"/>
          <w:szCs w:val="22"/>
        </w:rPr>
        <w:t>, aby bylo možno zajistit přítomnost oprávněných osob při převzetí díla.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</w:t>
      </w:r>
      <w:r>
        <w:rPr>
          <w:rFonts w:cs="Tahoma" w:ascii="Times New Roman" w:hAnsi="Times New Roman"/>
          <w:sz w:val="22"/>
          <w:szCs w:val="22"/>
        </w:rPr>
        <w:t>.</w:t>
        <w:tab/>
        <w:t>Zadavatel převezme předmět plnění pouze v případě, že jeho provedení odpovídá smlouvě o plnění a je prosté vad.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O předání a převzetí plnění bude mezi prodávajícím a kupujícím sepsán předávací protokol, který bude obsahovat výrobní číslo či jiné identifikační údaje dodávaných strojů.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Součástí díla bude i příslušná dokumentace, zejména technický průkaz, servisní knížka, návod k obsluze a údržbě v</w:t>
      </w:r>
      <w:r>
        <w:rPr>
          <w:rFonts w:cs="Tahoma" w:ascii="Times New Roman" w:hAnsi="Times New Roman"/>
          <w:sz w:val="22"/>
          <w:szCs w:val="22"/>
        </w:rPr>
        <w:t> </w:t>
      </w:r>
      <w:r>
        <w:rPr>
          <w:rFonts w:cs="Tahoma" w:ascii="Times New Roman" w:hAnsi="Times New Roman"/>
          <w:sz w:val="22"/>
          <w:szCs w:val="22"/>
        </w:rPr>
        <w:t>českém jazyce, katalog náhradních dílů, doklad o schválení k provozu, prohlášení o shodě apod.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>Dodavatel zajistí zaškolení obsluhy.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9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Dopravu zboží do místa </w:t>
      </w:r>
      <w:r>
        <w:rPr>
          <w:rFonts w:cs="Tahoma" w:ascii="Times New Roman" w:hAnsi="Times New Roman"/>
          <w:sz w:val="22"/>
          <w:szCs w:val="22"/>
        </w:rPr>
        <w:t>dodá</w:t>
      </w:r>
      <w:r>
        <w:rPr>
          <w:rFonts w:cs="Tahoma" w:ascii="Times New Roman" w:hAnsi="Times New Roman"/>
          <w:sz w:val="22"/>
          <w:szCs w:val="22"/>
        </w:rPr>
        <w:t>ní zajišťuje a hradí prodávající.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both"/>
        <w:rPr>
          <w:rFonts w:ascii="Times New Roman" w:hAnsi="Times New Roman" w:cs="Tahoma"/>
          <w:b/>
          <w:b/>
          <w:i/>
          <w:i/>
          <w:sz w:val="22"/>
          <w:szCs w:val="22"/>
        </w:rPr>
      </w:pPr>
      <w:r>
        <w:rPr>
          <w:rFonts w:cs="Tahoma" w:ascii="Times New Roman" w:hAnsi="Times New Roman"/>
          <w:b/>
          <w:i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E. PŘECHOD VLASTNICKÉHO PRÁVA A NEBEZPEČÍ ŠKODY NA ZBOŽÍ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Zboží přechází do vlastnictví kupujícího až po jeho úplném zaplacení a vyrovnání všech peněžitých závazků kupujícího vůči prodávajícímu, které z této strany vznikly.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>Nebezpečí škody na zboží přechází na kupujícího okamžikem splnění dodávky.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F. ZÁRUKA A SERVIS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Na dodaný druh zboží poskytuje prodávající záruku takto: v délce</w:t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 </w:t>
      </w:r>
      <w:r>
        <w:rPr>
          <w:rFonts w:cs="Tahoma" w:ascii="Times New Roman" w:hAnsi="Times New Roman"/>
          <w:sz w:val="22"/>
          <w:szCs w:val="22"/>
          <w:shd w:fill="auto" w:val="clear"/>
        </w:rPr>
        <w:t>48</w:t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 měsíců </w:t>
      </w:r>
      <w:r>
        <w:rPr>
          <w:rFonts w:cs="Tahoma" w:ascii="Times New Roman" w:hAnsi="Times New Roman"/>
          <w:sz w:val="22"/>
          <w:szCs w:val="22"/>
          <w:shd w:fill="auto" w:val="clear"/>
        </w:rPr>
        <w:t>(max. do 180 000 km)</w:t>
      </w:r>
      <w:r>
        <w:rPr>
          <w:rFonts w:cs="Tahoma" w:ascii="Times New Roman" w:hAnsi="Times New Roman"/>
          <w:sz w:val="22"/>
          <w:szCs w:val="22"/>
          <w:shd w:fill="auto" w:val="clear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2.</w:t>
        <w:tab/>
        <w:t>Záruční doba začíná plynout dnem převzetí plnění kupujícím. Tento termín je z</w:t>
      </w:r>
      <w:r>
        <w:rPr>
          <w:rFonts w:cs="Tahoma" w:ascii="Times New Roman" w:hAnsi="Times New Roman"/>
          <w:sz w:val="22"/>
          <w:szCs w:val="22"/>
        </w:rPr>
        <w:t>ároveň uveden na předávacím protokolu.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>Záruka se nevztahuje na škody způsobené nesprávným užíváním zboží, jeho nesprávnou údržbou a používáním neproškolenými osobami.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  <w:t>Záruka se rovněž nevztahuje na díly, k jejichž poškození došlo  běžným opotřebením.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  <w:t>Vady zboží uplatní kupující písemně, reklamačním listem.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  <w:t>Prodávající zajistí kompletní záruční a pozáruční servis.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G. SANKČNÍ UJEDNÁNÍ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Prodávající má právo od smlouvy odstoupit, pokud kupující je v prodlení s placením jednotlivé splátky po dobu delší než 30 dnů.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>V případě prodlení s úhradou faktury je kupující povinen zaplatit prodávajícímu smluvní pokutu ve výši 0,1% z dlužné částky za každý den prodlení.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V případě nedodání zboží je prodávající povinen zaplatit kupujícímu smluvní pokutu ve výši 0,1% z celkové částky za každý den kdy nebude kompletní zboží dodáno </w:t>
      </w:r>
      <w:r>
        <w:rPr>
          <w:rFonts w:cs="Tahoma" w:ascii="Times New Roman" w:hAnsi="Times New Roman"/>
          <w:sz w:val="22"/>
          <w:szCs w:val="22"/>
        </w:rPr>
        <w:t>a uhradit škodu, která bude kupujícímu způsobena ztrátou dotace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2"/>
          <w:szCs w:val="22"/>
        </w:rPr>
      </w:pPr>
      <w:r>
        <w:rPr>
          <w:rFonts w:cs="Tahoma" w:ascii="Times New Roman" w:hAnsi="Times New Roman"/>
          <w:b/>
          <w:sz w:val="22"/>
          <w:szCs w:val="22"/>
        </w:rPr>
        <w:t>H. OBECNÁ A ZÁVĚREČNÁ USTANOVENÍ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</w:t>
      </w:r>
      <w:r>
        <w:rPr>
          <w:rFonts w:cs="Tahoma" w:ascii="Times New Roman" w:hAnsi="Times New Roman"/>
          <w:sz w:val="22"/>
          <w:szCs w:val="22"/>
        </w:rPr>
        <w:t>.</w:t>
        <w:tab/>
        <w:t>Změna a doplňky této smlouvy lze učinit pouze vzájemným odsouhlasením v písemné formě.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Práva a povinnosti smluvních stran touto smlouvou výslovně neupravená se řídí příslušnými ustanoveními dodatky občanského zákoníku, resp. jiných obecně závazných právních předpisů. 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</w:t>
      </w:r>
      <w:r>
        <w:rPr>
          <w:rFonts w:cs="Tahoma" w:ascii="Times New Roman" w:hAnsi="Times New Roman"/>
          <w:sz w:val="22"/>
          <w:szCs w:val="22"/>
        </w:rPr>
        <w:t>.</w:t>
        <w:tab/>
        <w:t>Práva a povinnosti z této smlouvy vyplývající předcházejí i na právní zástupce smluvních stran.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Přílohy: K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nabídky,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Technické podmínky pro dopravní automobil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7"/>
      </w:tblGrid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Bělči dne ........................................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........................................ dne ........................................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kupující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prodávající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both"/>
        <w:rPr>
          <w:rFonts w:ascii="Times New Roman" w:hAnsi="Times New Roman" w:cs="Arial"/>
          <w:i w:val="false"/>
          <w:i w:val="false"/>
          <w:iCs w:val="false"/>
          <w:sz w:val="24"/>
          <w:szCs w:val="24"/>
          <w:shd w:fill="auto" w:val="clear"/>
        </w:rPr>
      </w:pPr>
      <w:r>
        <w:rPr>
          <w:rFonts w:cs="Arial" w:ascii="Times New Roman" w:hAnsi="Times New Roman"/>
          <w:i w:val="false"/>
          <w:iCs w:val="false"/>
          <w:sz w:val="24"/>
          <w:szCs w:val="24"/>
          <w:shd w:fill="auto" w:val="clear"/>
        </w:rPr>
      </w:r>
    </w:p>
    <w:sectPr>
      <w:headerReference w:type="default" r:id="rId2"/>
      <w:type w:val="nextPage"/>
      <w:pgSz w:w="11906" w:h="16838"/>
      <w:pgMar w:left="567" w:right="567" w:gutter="0" w:header="283" w:top="1027" w:footer="0" w:bottom="28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ee"/>
    <w:family w:val="roman"/>
    <w:pitch w:val="variable"/>
  </w:font>
  <w:font w:name="Calibri">
    <w:charset w:val="ee"/>
    <w:family w:val="swiss"/>
    <w:pitch w:val="variable"/>
  </w:font>
  <w:font w:name="JohnSans Text Pro">
    <w:altName w:val="Arial"/>
    <w:charset w:val="ee"/>
    <w:family w:val="modern"/>
    <w:pitch w:val="variable"/>
  </w:font>
  <w:font w:name="Avinion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779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3345"/>
      <w:gridCol w:w="2268"/>
      <w:gridCol w:w="3175"/>
      <w:gridCol w:w="1991"/>
    </w:tblGrid>
    <w:tr>
      <w:trPr/>
      <w:tc>
        <w:tcPr>
          <w:tcW w:w="334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b/>
              <w:b/>
              <w:bCs/>
              <w:sz w:val="48"/>
              <w:szCs w:val="48"/>
              <w:shd w:fill="E6E6E6" w:val="clear"/>
            </w:rPr>
          </w:pPr>
          <w:r>
            <w:rPr>
              <w:rFonts w:ascii="Verdana" w:hAnsi="Verdana"/>
              <w:b/>
              <w:bCs/>
              <w:sz w:val="48"/>
              <w:szCs w:val="48"/>
              <w:shd w:fill="E6E6E6" w:val="clear"/>
            </w:rPr>
            <w:t>Obec Běleč</w:t>
          </w:r>
        </w:p>
      </w:tc>
      <w:tc>
        <w:tcPr>
          <w:tcW w:w="2268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E6E6E6" w:val="clear"/>
            </w:rPr>
          </w:pPr>
          <w:r>
            <w:rPr>
              <w:rFonts w:ascii="Verdana" w:hAnsi="Verdana"/>
              <w:shd w:fill="E6E6E6" w:val="clear"/>
            </w:rPr>
            <w:t>391 43 Běleč 22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E6E6E6" w:val="clear"/>
            </w:rPr>
          </w:pPr>
          <w:r>
            <w:rPr>
              <w:rFonts w:ascii="Verdana" w:hAnsi="Verdana"/>
              <w:shd w:fill="E6E6E6" w:val="clear"/>
            </w:rPr>
            <w:t>IČ 00582506</w:t>
          </w:r>
        </w:p>
      </w:tc>
      <w:tc>
        <w:tcPr>
          <w:tcW w:w="317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E6E6E6" w:val="clear"/>
            </w:rPr>
          </w:pPr>
          <w:r>
            <w:rPr>
              <w:rFonts w:ascii="Verdana" w:hAnsi="Verdana"/>
              <w:shd w:fill="E6E6E6" w:val="clear"/>
            </w:rPr>
            <w:t>email info@obecbelec.cz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E6E6E6" w:val="clear"/>
            </w:rPr>
          </w:pPr>
          <w:r>
            <w:rPr>
              <w:rFonts w:ascii="Verdana" w:hAnsi="Verdana"/>
              <w:shd w:fill="E6E6E6" w:val="clear"/>
            </w:rPr>
            <w:t>http://www.obecbelec.cz</w:t>
          </w:r>
        </w:p>
      </w:tc>
      <w:tc>
        <w:tcPr>
          <w:tcW w:w="1991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E6E6E6" w:val="clear"/>
            </w:rPr>
          </w:pPr>
          <w:r>
            <w:rPr>
              <w:rFonts w:ascii="Verdana" w:hAnsi="Verdana"/>
              <w:shd w:fill="E6E6E6" w:val="clear"/>
            </w:rPr>
            <w:t>tel. 381214530</w:t>
          </w:r>
        </w:p>
        <w:p>
          <w:pPr>
            <w:pStyle w:val="Obsahtabulky"/>
            <w:spacing w:lineRule="auto" w:line="240" w:before="0" w:after="0"/>
            <w:jc w:val="center"/>
            <w:rPr/>
          </w:pPr>
          <w:r>
            <w:rPr>
              <w:rStyle w:val="Standardnpsmoodstavce"/>
              <w:rFonts w:ascii="Verdana" w:hAnsi="Verdana"/>
              <w:shd w:fill="E6E6E6" w:val="clear"/>
            </w:rPr>
            <w:t xml:space="preserve">IDDS </w:t>
          </w:r>
          <w:r>
            <w:rPr>
              <w:rStyle w:val="Standardnpsmoodstavce"/>
              <w:rFonts w:ascii="Verdana" w:hAnsi="Verdana"/>
              <w:b/>
              <w:bCs/>
              <w:shd w:fill="E6E6E6" w:val="clear"/>
            </w:rPr>
            <w:t>7wjajvb</w:t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02" w:hanging="567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3658"/>
        </w:tabs>
        <w:ind w:left="3658" w:hanging="680"/>
      </w:pPr>
      <w:rPr/>
    </w:lvl>
    <w:lvl w:ilvl="2">
      <w:start w:val="1"/>
      <w:numFmt w:val="decimal"/>
      <w:lvlText w:val="%1.%2.%3."/>
      <w:lvlJc w:val="left"/>
      <w:pPr>
        <w:tabs>
          <w:tab w:val="num" w:pos="4111"/>
        </w:tabs>
        <w:ind w:left="4111" w:hanging="1134"/>
      </w:pPr>
      <w:rPr/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i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3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1359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783" w:hanging="144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/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/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/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/>
    </w:lvl>
    <w:lvl w:ilvl="8">
      <w:start w:val="1"/>
      <w:numFmt w:val="decimal"/>
      <w:lvlText w:val="%9."/>
      <w:lvlJc w:val="left"/>
      <w:pPr>
        <w:tabs>
          <w:tab w:val="num" w:pos="710"/>
        </w:tabs>
        <w:ind w:left="710" w:hanging="426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/>
    </w:lvl>
    <w:lvl w:ilvl="1">
      <w:start w:val="9"/>
      <w:numFmt w:val="decimal"/>
      <w:lvlText w:val="%2."/>
      <w:lvlJc w:val="left"/>
      <w:pPr>
        <w:tabs>
          <w:tab w:val="num" w:pos="1155"/>
        </w:tabs>
        <w:ind w:left="115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 Narrow" w:hAnsi="Arial Narrow" w:eastAsia="Times New Roman" w:cs="Arial Narrow"/>
      <w:color w:val="auto"/>
      <w:sz w:val="24"/>
      <w:szCs w:val="24"/>
      <w:lang w:val="cs-CZ" w:bidi="ar-SA" w:eastAsia="zh-CN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 Narrow" w:hAnsi="Arial Narrow" w:cs="Arial Narrow"/>
      <w:b/>
      <w:sz w:val="52"/>
      <w:szCs w:val="28"/>
      <w:u w:val="single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autoSpaceDE w:val="false"/>
      <w:jc w:val="center"/>
      <w:outlineLvl w:val="1"/>
    </w:pPr>
    <w:rPr>
      <w:rFonts w:ascii="Arial Narrow" w:hAnsi="Arial Narrow" w:cs="Arial Narrow"/>
      <w:sz w:val="28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spacing w:lineRule="atLeast" w:line="240" w:before="120" w:after="0"/>
      <w:outlineLvl w:val="3"/>
    </w:pPr>
    <w:rPr>
      <w:rFonts w:ascii="Arial" w:hAnsi="Arial" w:cs="Arial"/>
      <w:b/>
      <w:sz w:val="28"/>
      <w:szCs w:val="20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44"/>
      <w:szCs w:val="28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spacing w:lineRule="atLeast" w:line="240" w:before="120" w:after="0"/>
      <w:outlineLvl w:val="5"/>
    </w:pPr>
    <w:rPr>
      <w:rFonts w:ascii="Arial" w:hAnsi="Arial" w:cs="Arial"/>
      <w:b/>
      <w:sz w:val="48"/>
      <w:szCs w:val="20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ahoma" w:hAnsi="Tahoma" w:cs="Tahoma"/>
      <w:sz w:val="40"/>
      <w:szCs w:val="40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 Narrow" w:hAnsi="Arial Narrow" w:cs="Arial Narrow"/>
      <w:b/>
      <w:bCs/>
      <w:sz w:val="36"/>
    </w:rPr>
  </w:style>
  <w:style w:type="paragraph" w:styleId="Nadpis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spacing w:before="100" w:after="10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styleId="WW8Num1z0">
    <w:name w:val="WW8Num1z0"/>
    <w:qFormat/>
    <w:rPr>
      <w:b/>
      <w:i w:val="false"/>
    </w:rPr>
  </w:style>
  <w:style w:type="character" w:styleId="WW8Num1z1">
    <w:name w:val="WW8Num1z1"/>
    <w:qFormat/>
    <w:rPr/>
  </w:style>
  <w:style w:type="character" w:styleId="WW8Num1z3">
    <w:name w:val="WW8Num1z3"/>
    <w:qFormat/>
    <w:rPr>
      <w:color w:val="000000"/>
    </w:rPr>
  </w:style>
  <w:style w:type="character" w:styleId="WW8Num1z4">
    <w:name w:val="WW8Num1z4"/>
    <w:qFormat/>
    <w:rPr>
      <w:i w:val="false"/>
    </w:rPr>
  </w:style>
  <w:style w:type="character" w:styleId="WW8Num2z0">
    <w:name w:val="WW8Num2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sz w:val="22"/>
      <w:szCs w:val="22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Symbol" w:hAnsi="Symbol" w:cs="Symbol"/>
      <w:spacing w:val="0"/>
      <w:position w:val="0"/>
      <w:sz w:val="24"/>
      <w:vertAlign w:val="baseli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Standardnpsmoodstavce">
    <w:name w:val="Standardní písmo odstavce"/>
    <w:qFormat/>
    <w:rPr/>
  </w:style>
  <w:style w:type="character" w:styleId="Internetovodkaz">
    <w:name w:val="Internetový odkaz"/>
    <w:rPr>
      <w:color w:val="0000FF"/>
      <w:u w:val="single"/>
    </w:rPr>
  </w:style>
  <w:style w:type="character" w:styleId="Slostrnky">
    <w:name w:val="Číslo stránky"/>
    <w:basedOn w:val="Standardnpsmoodstavce"/>
    <w:rPr/>
  </w:style>
  <w:style w:type="character" w:styleId="Navtveninternetovodkaz">
    <w:name w:val="Navštívený internetový odkaz"/>
    <w:rPr>
      <w:color w:val="800080"/>
      <w:u w:val="single"/>
    </w:rPr>
  </w:style>
  <w:style w:type="character" w:styleId="Silnzdraznn">
    <w:name w:val="Silné zdůraznění"/>
    <w:qFormat/>
    <w:rPr>
      <w:b/>
      <w:bCs/>
    </w:rPr>
  </w:style>
  <w:style w:type="character" w:styleId="Cpvselected1">
    <w:name w:val="cpvselected1"/>
    <w:qFormat/>
    <w:rPr>
      <w:color w:val="FF0000"/>
    </w:rPr>
  </w:style>
  <w:style w:type="character" w:styleId="CharChar">
    <w:name w:val=" Char Char"/>
    <w:qFormat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spacing w:lineRule="atLeast" w:line="240" w:before="120" w:after="0"/>
      <w:ind w:left="0" w:right="-663" w:hanging="0"/>
      <w:jc w:val="center"/>
    </w:pPr>
    <w:rPr>
      <w:rFonts w:ascii="Arial Narrow" w:hAnsi="Arial Narrow" w:cs="Arial Narrow"/>
      <w:b/>
      <w:sz w:val="32"/>
      <w:szCs w:val="20"/>
      <w:u w:val="single"/>
    </w:rPr>
  </w:style>
  <w:style w:type="paragraph" w:styleId="Tlotextu">
    <w:name w:val="Body Text"/>
    <w:basedOn w:val="Normal"/>
    <w:pPr>
      <w:spacing w:before="0" w:after="120"/>
    </w:pPr>
    <w:rPr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dsazentlatextu">
    <w:name w:val="Body Text Indent"/>
    <w:basedOn w:val="Normal"/>
    <w:pPr>
      <w:spacing w:before="280" w:after="280"/>
    </w:pPr>
    <w:rPr/>
  </w:style>
  <w:style w:type="paragraph" w:styleId="Zkladntext2">
    <w:name w:val="Základní text 2"/>
    <w:basedOn w:val="Normal"/>
    <w:qFormat/>
    <w:pPr>
      <w:spacing w:lineRule="auto" w:line="480" w:before="0" w:after="12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Zpat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xtodstavce">
    <w:name w:val="Text odstavce"/>
    <w:basedOn w:val="Normal"/>
    <w:qFormat/>
    <w:pPr>
      <w:numPr>
        <w:ilvl w:val="0"/>
        <w:numId w:val="6"/>
      </w:numPr>
      <w:tabs>
        <w:tab w:val="clear" w:pos="708"/>
        <w:tab w:val="left" w:pos="851" w:leader="none"/>
      </w:tabs>
      <w:spacing w:before="120" w:after="120"/>
      <w:jc w:val="both"/>
      <w:outlineLvl w:val="6"/>
    </w:pPr>
    <w:rPr>
      <w:szCs w:val="20"/>
    </w:rPr>
  </w:style>
  <w:style w:type="paragraph" w:styleId="Textbodu">
    <w:name w:val="Text bodu"/>
    <w:basedOn w:val="Normal"/>
    <w:qFormat/>
    <w:pPr>
      <w:numPr>
        <w:ilvl w:val="0"/>
        <w:numId w:val="6"/>
      </w:numPr>
      <w:jc w:val="both"/>
      <w:outlineLvl w:val="8"/>
    </w:pPr>
    <w:rPr>
      <w:szCs w:val="20"/>
    </w:rPr>
  </w:style>
  <w:style w:type="paragraph" w:styleId="Textpsmene">
    <w:name w:val="Text písmene"/>
    <w:basedOn w:val="Normal"/>
    <w:qFormat/>
    <w:pPr>
      <w:numPr>
        <w:ilvl w:val="0"/>
        <w:numId w:val="6"/>
      </w:numPr>
      <w:jc w:val="both"/>
      <w:outlineLvl w:val="7"/>
    </w:pPr>
    <w:rPr>
      <w:szCs w:val="20"/>
    </w:rPr>
  </w:style>
  <w:style w:type="paragraph" w:styleId="Textparagrafu">
    <w:name w:val="Text paragrafu"/>
    <w:basedOn w:val="Normal"/>
    <w:qFormat/>
    <w:pPr>
      <w:numPr>
        <w:ilvl w:val="0"/>
        <w:numId w:val="0"/>
      </w:numPr>
      <w:spacing w:before="240" w:after="0"/>
      <w:ind w:left="0" w:right="0" w:firstLine="425"/>
      <w:jc w:val="both"/>
      <w:outlineLvl w:val="5"/>
    </w:pPr>
    <w:rPr>
      <w:szCs w:val="20"/>
    </w:rPr>
  </w:style>
  <w:style w:type="paragraph" w:styleId="Zkladntext3">
    <w:name w:val="Základní text 3"/>
    <w:basedOn w:val="Normal"/>
    <w:qFormat/>
    <w:pPr>
      <w:numPr>
        <w:ilvl w:val="0"/>
        <w:numId w:val="0"/>
      </w:numPr>
      <w:jc w:val="both"/>
      <w:outlineLvl w:val="0"/>
    </w:pPr>
    <w:rPr/>
  </w:style>
  <w:style w:type="paragraph" w:styleId="Zkladntextodsazen3">
    <w:name w:val="Základní text odsazený 3"/>
    <w:basedOn w:val="Normal"/>
    <w:qFormat/>
    <w:pPr>
      <w:ind w:left="709" w:right="0" w:hanging="709"/>
    </w:pPr>
    <w:rPr>
      <w:rFonts w:ascii="Arial Narrow" w:hAnsi="Arial Narrow" w:cs="Arial Narrow"/>
      <w:szCs w:val="20"/>
    </w:rPr>
  </w:style>
  <w:style w:type="paragraph" w:styleId="Zkladntextodsazen2">
    <w:name w:val="Základní text odsazený 2"/>
    <w:basedOn w:val="Normal"/>
    <w:qFormat/>
    <w:pPr>
      <w:ind w:left="360" w:right="0" w:hanging="360"/>
      <w:jc w:val="both"/>
    </w:pPr>
    <w:rPr/>
  </w:style>
  <w:style w:type="paragraph" w:styleId="Import11">
    <w:name w:val="Import 11"/>
    <w:basedOn w:val="Normal"/>
    <w:qFormat/>
    <w:pPr>
      <w:tabs>
        <w:tab w:val="clear" w:pos="708"/>
        <w:tab w:val="left" w:pos="3888" w:leader="none"/>
        <w:tab w:val="left" w:pos="5184" w:leader="none"/>
      </w:tabs>
      <w:suppressAutoHyphens w:val="true"/>
      <w:spacing w:lineRule="auto" w:line="228"/>
      <w:ind w:left="576" w:right="0" w:hanging="0"/>
    </w:pPr>
    <w:rPr>
      <w:rFonts w:ascii="Courier New" w:hAnsi="Courier New" w:cs="Courier New"/>
      <w:szCs w:val="20"/>
    </w:rPr>
  </w:style>
  <w:style w:type="paragraph" w:styleId="Import13">
    <w:name w:val="Import 13"/>
    <w:basedOn w:val="Normal"/>
    <w:qFormat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uppressAutoHyphens w:val="true"/>
      <w:spacing w:lineRule="auto" w:line="228"/>
      <w:ind w:left="720" w:right="0" w:firstLine="288"/>
    </w:pPr>
    <w:rPr>
      <w:rFonts w:ascii="Courier New" w:hAnsi="Courier New" w:cs="Courier New"/>
      <w:szCs w:val="20"/>
    </w:rPr>
  </w:style>
  <w:style w:type="paragraph" w:styleId="Import0">
    <w:name w:val="Import 0"/>
    <w:basedOn w:val="Normal"/>
    <w:qFormat/>
    <w:pPr>
      <w:suppressAutoHyphens w:val="true"/>
      <w:spacing w:lineRule="auto" w:line="276"/>
    </w:pPr>
    <w:rPr>
      <w:rFonts w:ascii="Courier New" w:hAnsi="Courier New" w:cs="Courier New"/>
      <w:szCs w:val="20"/>
    </w:rPr>
  </w:style>
  <w:style w:type="paragraph" w:styleId="Import2">
    <w:name w:val="Import 2"/>
    <w:basedOn w:val="Import0"/>
    <w:qFormat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pacing w:lineRule="auto" w:line="228"/>
      <w:ind w:left="576" w:right="0" w:hanging="0"/>
    </w:pPr>
    <w:rPr/>
  </w:style>
  <w:style w:type="paragraph" w:styleId="Prosttext">
    <w:name w:val="Prostý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NormalJustified">
    <w:name w:val="Normal (Justified)"/>
    <w:basedOn w:val="Normal"/>
    <w:qFormat/>
    <w:pPr>
      <w:widowControl w:val="false"/>
      <w:jc w:val="both"/>
    </w:pPr>
    <w:rPr>
      <w:rFonts w:ascii="Arial Narrow" w:hAnsi="Arial Narrow" w:cs="Arial Narrow"/>
      <w:kern w:val="2"/>
      <w:szCs w:val="20"/>
    </w:rPr>
  </w:style>
  <w:style w:type="paragraph" w:styleId="Normal01">
    <w:name w:val="Normal 01"/>
    <w:basedOn w:val="Normal"/>
    <w:qFormat/>
    <w:pPr>
      <w:widowControl w:val="false"/>
    </w:pPr>
    <w:rPr>
      <w:rFonts w:ascii="Arial" w:hAnsi="Arial" w:cs="Arial"/>
      <w:sz w:val="17"/>
      <w:szCs w:val="20"/>
    </w:rPr>
  </w:style>
  <w:style w:type="paragraph" w:styleId="Textvbloku">
    <w:name w:val="Text v bloku"/>
    <w:basedOn w:val="Normal"/>
    <w:qFormat/>
    <w:pPr>
      <w:autoSpaceDE w:val="false"/>
      <w:ind w:left="470" w:right="110" w:hanging="180"/>
      <w:jc w:val="both"/>
    </w:pPr>
    <w:rPr>
      <w:rFonts w:ascii="Arial Narrow" w:hAnsi="Arial Narrow" w:cs="Arial Narrow"/>
      <w:color w:val="000000"/>
      <w:sz w:val="22"/>
    </w:rPr>
  </w:style>
  <w:style w:type="paragraph" w:styleId="ListParagraph">
    <w:name w:val="List Paragraph"/>
    <w:basedOn w:val="Normal"/>
    <w:qFormat/>
    <w:pPr>
      <w:ind w:left="720" w:right="0" w:firstLine="709"/>
    </w:pPr>
    <w:rPr>
      <w:rFonts w:ascii="Calibri" w:hAnsi="Calibri" w:eastAsia="Calibri" w:cs="Calibri"/>
      <w:sz w:val="22"/>
      <w:szCs w:val="22"/>
    </w:rPr>
  </w:style>
  <w:style w:type="paragraph" w:styleId="Cislovani1">
    <w:name w:val="cislovani 1"/>
    <w:basedOn w:val="Normal"/>
    <w:next w:val="Normal"/>
    <w:qFormat/>
    <w:pPr>
      <w:keepNext w:val="true"/>
      <w:numPr>
        <w:ilvl w:val="0"/>
        <w:numId w:val="2"/>
      </w:numPr>
      <w:spacing w:lineRule="auto" w:line="288" w:before="480" w:after="0"/>
      <w:ind w:left="567" w:right="0" w:hanging="0"/>
    </w:pPr>
    <w:rPr>
      <w:rFonts w:ascii="JohnSans Text Pro;Arial" w:hAnsi="JohnSans Text Pro;Arial" w:cs="JohnSans Text Pro;Arial"/>
      <w:b/>
      <w:caps/>
    </w:rPr>
  </w:style>
  <w:style w:type="paragraph" w:styleId="Cislovani2">
    <w:name w:val="Cislovani 2"/>
    <w:basedOn w:val="Normal"/>
    <w:qFormat/>
    <w:pPr>
      <w:keepNext w:val="true"/>
      <w:numPr>
        <w:ilvl w:val="0"/>
        <w:numId w:val="2"/>
      </w:numPr>
      <w:tabs>
        <w:tab w:val="clear" w:pos="708"/>
        <w:tab w:val="left" w:pos="851" w:leader="none"/>
        <w:tab w:val="left" w:pos="1021" w:leader="none"/>
      </w:tabs>
      <w:spacing w:lineRule="auto" w:line="288" w:before="24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3">
    <w:name w:val="Cislovani 3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">
    <w:name w:val="Cislovani 4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text">
    <w:name w:val="Cislovani 4 text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i/>
      <w:sz w:val="20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cs-CZ" w:bidi="ar-SA" w:eastAsia="zh-CN"/>
    </w:rPr>
  </w:style>
  <w:style w:type="paragraph" w:styleId="Import8">
    <w:name w:val="Import 8"/>
    <w:qFormat/>
    <w:pPr>
      <w:widowControl/>
      <w:tabs>
        <w:tab w:val="clear" w:pos="708"/>
        <w:tab w:val="left" w:pos="504" w:leader="none"/>
        <w:tab w:val="left" w:pos="1368" w:leader="none"/>
        <w:tab w:val="left" w:pos="2232" w:leader="none"/>
        <w:tab w:val="left" w:pos="3096" w:leader="none"/>
        <w:tab w:val="left" w:pos="3960" w:leader="none"/>
        <w:tab w:val="left" w:pos="4824" w:leader="none"/>
        <w:tab w:val="left" w:pos="5688" w:leader="none"/>
        <w:tab w:val="left" w:pos="6552" w:leader="none"/>
        <w:tab w:val="left" w:pos="7416" w:leader="none"/>
        <w:tab w:val="left" w:pos="8280" w:leader="none"/>
      </w:tabs>
      <w:kinsoku w:val="true"/>
      <w:overflowPunct w:val="true"/>
      <w:autoSpaceDE w:val="true"/>
      <w:bidi w:val="0"/>
      <w:jc w:val="both"/>
    </w:pPr>
    <w:rPr>
      <w:rFonts w:ascii="Avinion;Arial" w:hAnsi="Avinion;Arial" w:eastAsia="Times New Roman" w:cs="Avinion;Arial"/>
      <w:color w:val="auto"/>
      <w:sz w:val="24"/>
      <w:szCs w:val="20"/>
      <w:lang w:val="en-US" w:bidi="ar-SA" w:eastAsia="zh-CN"/>
    </w:rPr>
  </w:style>
  <w:style w:type="paragraph" w:styleId="ZkladntextodsazenIMP">
    <w:name w:val="Základní text odsazený_IMP"/>
    <w:basedOn w:val="Normal"/>
    <w:qFormat/>
    <w:pPr>
      <w:tabs>
        <w:tab w:val="clear" w:pos="708"/>
        <w:tab w:val="left" w:pos="6720" w:leader="none"/>
      </w:tabs>
      <w:suppressAutoHyphens w:val="true"/>
      <w:overflowPunct w:val="false"/>
      <w:autoSpaceDE w:val="false"/>
      <w:spacing w:lineRule="auto" w:line="228"/>
      <w:ind w:left="227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pacing w:before="60" w:after="120"/>
      <w:jc w:val="center"/>
    </w:pPr>
    <w:rPr>
      <w:sz w:val="36"/>
      <w:szCs w:val="36"/>
    </w:rPr>
  </w:style>
  <w:style w:type="paragraph" w:styleId="Normln1">
    <w:name w:val="Normální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cs-CZ" w:eastAsia="zh-CN" w:bidi="ar-SA"/>
    </w:rPr>
  </w:style>
  <w:style w:type="paragraph" w:styleId="Zkladntext21">
    <w:name w:val="Základní text 21"/>
    <w:basedOn w:val="Normal"/>
    <w:qFormat/>
    <w:pPr>
      <w:jc w:val="both"/>
    </w:pPr>
    <w:rPr>
      <w:color w:val="000000"/>
      <w:szCs w:val="20"/>
    </w:rPr>
  </w:style>
  <w:style w:type="paragraph" w:styleId="Zkladntextodsazen21">
    <w:name w:val="Základní text odsazený 21"/>
    <w:basedOn w:val="Normln1"/>
    <w:qFormat/>
    <w:pPr>
      <w:ind w:left="2268" w:right="0" w:hanging="0"/>
      <w:jc w:val="both"/>
    </w:pPr>
    <w:rPr>
      <w:color w:val="0000FF"/>
      <w:sz w:val="26"/>
    </w:rPr>
  </w:style>
  <w:style w:type="paragraph" w:styleId="Normodsaz">
    <w:name w:val="Norm.odsaz."/>
    <w:basedOn w:val="Normal"/>
    <w:qFormat/>
    <w:pPr>
      <w:numPr>
        <w:ilvl w:val="0"/>
        <w:numId w:val="3"/>
      </w:numPr>
      <w:suppressAutoHyphens w:val="true"/>
      <w:spacing w:before="120" w:after="120"/>
      <w:ind w:left="0" w:right="0" w:hanging="0"/>
      <w:jc w:val="both"/>
    </w:pPr>
    <w:rPr>
      <w:rFonts w:ascii="Arial" w:hAnsi="Arial" w:cs="Arial"/>
      <w:sz w:val="20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ormal2">
    <w:name w:val="Normal 2"/>
    <w:basedOn w:val="Normal"/>
    <w:qFormat/>
    <w:pPr>
      <w:spacing w:before="120" w:after="120"/>
      <w:ind w:left="709" w:right="0" w:hanging="0"/>
      <w:jc w:val="both"/>
    </w:pPr>
    <w:rPr>
      <w:sz w:val="22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LibreOffice/7.2.6.2$Windows_X86_64 LibreOffice_project/b0ec3a565991f7569a5a7f5d24fed7f52653d754</Application>
  <AppVersion>15.0000</AppVersion>
  <Pages>7</Pages>
  <Words>2717</Words>
  <Characters>16432</Characters>
  <CharactersWithSpaces>18957</CharactersWithSpaces>
  <Paragraphs>236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2016-04-25T09:40:00Z</dcterms:created>
  <dc:creator>Stanislav Janouš</dc:creator>
  <dc:description/>
  <dc:language>cs-CZ</dc:language>
  <cp:lastModifiedBy/>
  <cp:lastPrinted>2015-04-27T09:13:00Z</cp:lastPrinted>
  <dcterms:modified xsi:type="dcterms:W3CDTF">2022-06-14T16:47:53Z</dcterms:modified>
  <cp:revision>19</cp:revision>
  <dc:subject/>
  <dc:title>Naše značka:</dc:title>
</cp:coreProperties>
</file>